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2BCFF" w14:textId="77777777" w:rsidR="007D1195" w:rsidRPr="00811CB3" w:rsidRDefault="007D1195" w:rsidP="00943E8F">
      <w:pPr>
        <w:pStyle w:val="BasicParagraph"/>
        <w:suppressAutoHyphens/>
        <w:spacing w:after="113" w:line="300" w:lineRule="atLeast"/>
        <w:ind w:right="2552"/>
        <w:rPr>
          <w:rFonts w:ascii="Arial" w:hAnsi="Arial" w:cs="Arial"/>
          <w:sz w:val="20"/>
          <w:szCs w:val="20"/>
        </w:rPr>
      </w:pPr>
    </w:p>
    <w:p w14:paraId="172947A6" w14:textId="77777777" w:rsidR="007D1195" w:rsidRPr="00811CB3" w:rsidRDefault="007D1195" w:rsidP="007D1195">
      <w:pPr>
        <w:pStyle w:val="BasicParagraph"/>
        <w:tabs>
          <w:tab w:val="left" w:pos="2410"/>
        </w:tabs>
        <w:suppressAutoHyphens/>
        <w:spacing w:after="113" w:line="300" w:lineRule="atLeast"/>
        <w:ind w:right="2552"/>
        <w:rPr>
          <w:rFonts w:ascii="Arial" w:hAnsi="Arial" w:cs="Arial"/>
          <w:sz w:val="20"/>
          <w:szCs w:val="20"/>
        </w:rPr>
      </w:pPr>
    </w:p>
    <w:p w14:paraId="25AE69F2" w14:textId="77777777" w:rsidR="007D1195" w:rsidRPr="00811CB3" w:rsidRDefault="007D1195" w:rsidP="007D1195">
      <w:pPr>
        <w:pStyle w:val="BasicParagraph"/>
        <w:suppressAutoHyphens/>
        <w:spacing w:after="113" w:line="300" w:lineRule="atLeast"/>
        <w:ind w:right="2552"/>
        <w:rPr>
          <w:rFonts w:ascii="Arial" w:hAnsi="Arial" w:cs="Arial"/>
          <w:sz w:val="20"/>
          <w:szCs w:val="20"/>
        </w:rPr>
      </w:pPr>
      <w:bookmarkStart w:id="0" w:name="_GoBack"/>
      <w:bookmarkEnd w:id="0"/>
    </w:p>
    <w:p w14:paraId="2F233D0F" w14:textId="77777777" w:rsidR="007D1195" w:rsidRPr="00811CB3" w:rsidRDefault="007D1195" w:rsidP="007D1195">
      <w:pPr>
        <w:pStyle w:val="BasicParagraph"/>
        <w:suppressAutoHyphens/>
        <w:spacing w:after="113" w:line="300" w:lineRule="atLeast"/>
        <w:ind w:right="2552"/>
        <w:rPr>
          <w:rFonts w:ascii="Arial" w:hAnsi="Arial" w:cs="Arial"/>
          <w:sz w:val="20"/>
          <w:szCs w:val="20"/>
        </w:rPr>
      </w:pPr>
    </w:p>
    <w:p w14:paraId="75EA419C" w14:textId="77777777" w:rsidR="007D1195" w:rsidRPr="00811CB3" w:rsidRDefault="007D1195" w:rsidP="007D1195">
      <w:pPr>
        <w:pStyle w:val="BasicParagraph"/>
        <w:suppressAutoHyphens/>
        <w:spacing w:after="113" w:line="300" w:lineRule="atLeast"/>
        <w:ind w:right="2552"/>
        <w:rPr>
          <w:rFonts w:ascii="Arial" w:hAnsi="Arial" w:cs="Arial"/>
          <w:sz w:val="20"/>
          <w:szCs w:val="20"/>
        </w:rPr>
      </w:pPr>
    </w:p>
    <w:p w14:paraId="36E403B8" w14:textId="77777777" w:rsidR="007D1195" w:rsidRPr="00811CB3" w:rsidRDefault="007D1195" w:rsidP="007D1195">
      <w:pPr>
        <w:pStyle w:val="Title"/>
        <w:jc w:val="center"/>
        <w:rPr>
          <w:rFonts w:ascii="Arial" w:hAnsi="Arial" w:cs="Arial"/>
          <w:sz w:val="72"/>
        </w:rPr>
      </w:pPr>
    </w:p>
    <w:p w14:paraId="646F8208" w14:textId="77777777" w:rsidR="007D1195" w:rsidRPr="00811CB3" w:rsidRDefault="007D1195" w:rsidP="007D1195">
      <w:pPr>
        <w:pStyle w:val="Title"/>
        <w:jc w:val="center"/>
        <w:rPr>
          <w:rFonts w:ascii="Arial" w:hAnsi="Arial" w:cs="Arial"/>
          <w:sz w:val="72"/>
        </w:rPr>
      </w:pPr>
    </w:p>
    <w:p w14:paraId="24DC6518" w14:textId="77777777" w:rsidR="007D1195" w:rsidRPr="00811CB3" w:rsidRDefault="007D1195" w:rsidP="007D1195">
      <w:pPr>
        <w:pStyle w:val="Title"/>
        <w:jc w:val="center"/>
        <w:rPr>
          <w:rFonts w:ascii="Arial" w:hAnsi="Arial" w:cs="Arial"/>
          <w:sz w:val="72"/>
        </w:rPr>
      </w:pPr>
    </w:p>
    <w:p w14:paraId="3801B063" w14:textId="752F8127" w:rsidR="00EB4AA6" w:rsidRPr="008B4C59" w:rsidRDefault="00EB4AA6" w:rsidP="00EB4AA6">
      <w:pPr>
        <w:pStyle w:val="Title"/>
        <w:jc w:val="center"/>
      </w:pPr>
      <w:r w:rsidRPr="008B4C59">
        <w:t xml:space="preserve">Proposed </w:t>
      </w:r>
      <w:r w:rsidR="00893DD1">
        <w:t>SEM T</w:t>
      </w:r>
      <w:r w:rsidR="007F5B07">
        <w:t xml:space="preserve">esting Tariffs </w:t>
      </w:r>
      <w:r w:rsidR="00893DD1">
        <w:t>Rates 2018 Consultation</w:t>
      </w:r>
    </w:p>
    <w:p w14:paraId="33D8A4D3" w14:textId="77777777" w:rsidR="00EB4AA6" w:rsidRPr="00811CB3" w:rsidRDefault="00EB4AA6" w:rsidP="00EB4AA6">
      <w:pPr>
        <w:pStyle w:val="Title"/>
        <w:jc w:val="center"/>
        <w:rPr>
          <w:rFonts w:ascii="Arial" w:hAnsi="Arial" w:cs="Arial"/>
          <w:sz w:val="72"/>
        </w:rPr>
      </w:pPr>
    </w:p>
    <w:p w14:paraId="1604D24B" w14:textId="5E4C2EDF" w:rsidR="00EB4AA6" w:rsidRPr="00E51A88" w:rsidRDefault="00E2130F" w:rsidP="00EB4AA6">
      <w:pPr>
        <w:jc w:val="center"/>
        <w:rPr>
          <w:rFonts w:asciiTheme="majorHAnsi" w:eastAsiaTheme="majorEastAsia" w:hAnsiTheme="majorHAnsi" w:cstheme="majorBidi"/>
          <w:color w:val="17365D" w:themeColor="text2" w:themeShade="BF"/>
          <w:spacing w:val="5"/>
          <w:kern w:val="28"/>
          <w:sz w:val="32"/>
          <w:szCs w:val="52"/>
        </w:rPr>
      </w:pPr>
      <w:r>
        <w:rPr>
          <w:rFonts w:asciiTheme="majorHAnsi" w:eastAsiaTheme="majorEastAsia" w:hAnsiTheme="majorHAnsi" w:cstheme="majorBidi"/>
          <w:color w:val="17365D" w:themeColor="text2" w:themeShade="BF"/>
          <w:spacing w:val="5"/>
          <w:kern w:val="28"/>
          <w:sz w:val="32"/>
          <w:szCs w:val="52"/>
        </w:rPr>
        <w:t>09/08</w:t>
      </w:r>
      <w:r w:rsidR="00893DD1">
        <w:rPr>
          <w:rFonts w:asciiTheme="majorHAnsi" w:eastAsiaTheme="majorEastAsia" w:hAnsiTheme="majorHAnsi" w:cstheme="majorBidi"/>
          <w:color w:val="17365D" w:themeColor="text2" w:themeShade="BF"/>
          <w:spacing w:val="5"/>
          <w:kern w:val="28"/>
          <w:sz w:val="32"/>
          <w:szCs w:val="52"/>
        </w:rPr>
        <w:t>/2017</w:t>
      </w:r>
    </w:p>
    <w:p w14:paraId="7475A212" w14:textId="1ED0CA65" w:rsidR="007F5B07" w:rsidRDefault="007F5B07" w:rsidP="007D1195">
      <w:pPr>
        <w:rPr>
          <w:rFonts w:ascii="Arial" w:hAnsi="Arial" w:cs="Arial"/>
        </w:rPr>
      </w:pPr>
    </w:p>
    <w:p w14:paraId="07DF804C" w14:textId="77777777" w:rsidR="007F5B07" w:rsidRPr="007F5B07" w:rsidRDefault="007F5B07" w:rsidP="007F5B07">
      <w:pPr>
        <w:rPr>
          <w:rFonts w:ascii="Arial" w:hAnsi="Arial" w:cs="Arial"/>
        </w:rPr>
      </w:pPr>
    </w:p>
    <w:p w14:paraId="35C8BD94" w14:textId="77777777" w:rsidR="007F5B07" w:rsidRPr="007F5B07" w:rsidRDefault="007F5B07" w:rsidP="007F5B07">
      <w:pPr>
        <w:rPr>
          <w:rFonts w:ascii="Arial" w:hAnsi="Arial" w:cs="Arial"/>
        </w:rPr>
      </w:pPr>
    </w:p>
    <w:p w14:paraId="1B747754" w14:textId="77777777" w:rsidR="007F5B07" w:rsidRPr="007F5B07" w:rsidRDefault="007F5B07" w:rsidP="007F5B07">
      <w:pPr>
        <w:rPr>
          <w:rFonts w:ascii="Arial" w:hAnsi="Arial" w:cs="Arial"/>
        </w:rPr>
      </w:pPr>
    </w:p>
    <w:p w14:paraId="08370DEE" w14:textId="77777777" w:rsidR="007F5B07" w:rsidRPr="007F5B07" w:rsidRDefault="007F5B07" w:rsidP="007F5B07">
      <w:pPr>
        <w:rPr>
          <w:rFonts w:ascii="Arial" w:hAnsi="Arial" w:cs="Arial"/>
        </w:rPr>
      </w:pPr>
    </w:p>
    <w:p w14:paraId="7645B121" w14:textId="77777777" w:rsidR="007F5B07" w:rsidRPr="007F5B07" w:rsidRDefault="007F5B07" w:rsidP="007F5B07">
      <w:pPr>
        <w:rPr>
          <w:rFonts w:ascii="Arial" w:hAnsi="Arial" w:cs="Arial"/>
        </w:rPr>
      </w:pPr>
    </w:p>
    <w:p w14:paraId="7993D06D" w14:textId="77777777" w:rsidR="007F5B07" w:rsidRPr="007F5B07" w:rsidRDefault="007F5B07" w:rsidP="007F5B07">
      <w:pPr>
        <w:rPr>
          <w:rFonts w:ascii="Arial" w:hAnsi="Arial" w:cs="Arial"/>
        </w:rPr>
      </w:pPr>
    </w:p>
    <w:p w14:paraId="1191C35E" w14:textId="77777777" w:rsidR="007F5B07" w:rsidRPr="007F5B07" w:rsidRDefault="007F5B07" w:rsidP="007F5B07">
      <w:pPr>
        <w:rPr>
          <w:rFonts w:ascii="Arial" w:hAnsi="Arial" w:cs="Arial"/>
        </w:rPr>
      </w:pPr>
    </w:p>
    <w:p w14:paraId="5566718B" w14:textId="77777777" w:rsidR="007F5B07" w:rsidRPr="007F5B07" w:rsidRDefault="007F5B07" w:rsidP="007F5B07">
      <w:pPr>
        <w:rPr>
          <w:rFonts w:ascii="Arial" w:hAnsi="Arial" w:cs="Arial"/>
        </w:rPr>
      </w:pPr>
    </w:p>
    <w:p w14:paraId="7510F7E2" w14:textId="77777777" w:rsidR="007F5B07" w:rsidRPr="007F5B07" w:rsidRDefault="007F5B07" w:rsidP="007F5B07">
      <w:pPr>
        <w:rPr>
          <w:rFonts w:ascii="Arial" w:hAnsi="Arial" w:cs="Arial"/>
        </w:rPr>
      </w:pPr>
    </w:p>
    <w:p w14:paraId="29BD3724" w14:textId="77777777" w:rsidR="007F5B07" w:rsidRPr="007F5B07" w:rsidRDefault="007F5B07" w:rsidP="007F5B07">
      <w:pPr>
        <w:rPr>
          <w:rFonts w:ascii="Arial" w:hAnsi="Arial" w:cs="Arial"/>
        </w:rPr>
      </w:pPr>
    </w:p>
    <w:p w14:paraId="20FCD9EC" w14:textId="77777777" w:rsidR="007F5B07" w:rsidRPr="007F5B07" w:rsidRDefault="007F5B07" w:rsidP="007F5B07">
      <w:pPr>
        <w:rPr>
          <w:rFonts w:ascii="Arial" w:hAnsi="Arial" w:cs="Arial"/>
        </w:rPr>
      </w:pPr>
    </w:p>
    <w:p w14:paraId="1BF6E750" w14:textId="77777777" w:rsidR="007F5B07" w:rsidRPr="007F5B07" w:rsidRDefault="007F5B07" w:rsidP="007F5B07">
      <w:pPr>
        <w:rPr>
          <w:rFonts w:ascii="Arial" w:hAnsi="Arial" w:cs="Arial"/>
        </w:rPr>
      </w:pPr>
    </w:p>
    <w:p w14:paraId="4AF1589C" w14:textId="6A14A0B5" w:rsidR="007F5B07" w:rsidRDefault="007F5B07" w:rsidP="007F5B07">
      <w:pPr>
        <w:rPr>
          <w:rFonts w:ascii="Arial" w:hAnsi="Arial" w:cs="Arial"/>
        </w:rPr>
      </w:pPr>
    </w:p>
    <w:p w14:paraId="1067B34A" w14:textId="77777777" w:rsidR="007F5B07" w:rsidRPr="007F5B07" w:rsidRDefault="007F5B07" w:rsidP="007F5B07">
      <w:pPr>
        <w:rPr>
          <w:rFonts w:ascii="Arial" w:hAnsi="Arial" w:cs="Arial"/>
        </w:rPr>
      </w:pPr>
    </w:p>
    <w:p w14:paraId="7A05544E" w14:textId="77777777" w:rsidR="007F5B07" w:rsidRPr="007F5B07" w:rsidRDefault="007F5B07" w:rsidP="007F5B07">
      <w:pPr>
        <w:rPr>
          <w:rFonts w:ascii="Arial" w:hAnsi="Arial" w:cs="Arial"/>
        </w:rPr>
      </w:pPr>
    </w:p>
    <w:p w14:paraId="03DD015F" w14:textId="77777777" w:rsidR="007F5B07" w:rsidRPr="007F5B07" w:rsidRDefault="007F5B07" w:rsidP="007F5B07">
      <w:pPr>
        <w:rPr>
          <w:rFonts w:ascii="Arial" w:hAnsi="Arial" w:cs="Arial"/>
        </w:rPr>
      </w:pPr>
    </w:p>
    <w:p w14:paraId="62C70DF4" w14:textId="77777777" w:rsidR="007F5B07" w:rsidRPr="007F5B07" w:rsidRDefault="007F5B07" w:rsidP="007F5B07">
      <w:pPr>
        <w:rPr>
          <w:rFonts w:ascii="Arial" w:hAnsi="Arial" w:cs="Arial"/>
        </w:rPr>
      </w:pPr>
    </w:p>
    <w:p w14:paraId="0AFB3177" w14:textId="77777777" w:rsidR="007F5B07" w:rsidRPr="007F5B07" w:rsidRDefault="007F5B07" w:rsidP="007F5B07">
      <w:pPr>
        <w:rPr>
          <w:rFonts w:ascii="Arial" w:hAnsi="Arial" w:cs="Arial"/>
        </w:rPr>
      </w:pPr>
    </w:p>
    <w:p w14:paraId="346625E2" w14:textId="36285C84" w:rsidR="007F5B07" w:rsidRDefault="007F5B07" w:rsidP="007F5B07">
      <w:pPr>
        <w:tabs>
          <w:tab w:val="left" w:pos="7563"/>
        </w:tabs>
        <w:rPr>
          <w:rFonts w:ascii="Arial" w:hAnsi="Arial" w:cs="Arial"/>
        </w:rPr>
      </w:pPr>
      <w:r>
        <w:rPr>
          <w:rFonts w:ascii="Arial" w:hAnsi="Arial" w:cs="Arial"/>
        </w:rPr>
        <w:tab/>
      </w:r>
    </w:p>
    <w:p w14:paraId="21C9D06A" w14:textId="564D423B" w:rsidR="007F5B07" w:rsidRDefault="007F5B07" w:rsidP="007F5B07">
      <w:pPr>
        <w:rPr>
          <w:rFonts w:ascii="Arial" w:hAnsi="Arial" w:cs="Arial"/>
        </w:rPr>
      </w:pPr>
    </w:p>
    <w:p w14:paraId="6CF2B576" w14:textId="77777777" w:rsidR="007D1195" w:rsidRPr="007F5B07" w:rsidRDefault="007D1195" w:rsidP="007F5B07">
      <w:pPr>
        <w:rPr>
          <w:rFonts w:ascii="Arial" w:hAnsi="Arial" w:cs="Arial"/>
        </w:rPr>
        <w:sectPr w:rsidR="007D1195" w:rsidRPr="007F5B07" w:rsidSect="00212985">
          <w:headerReference w:type="even" r:id="rId9"/>
          <w:headerReference w:type="default" r:id="rId10"/>
          <w:footerReference w:type="even" r:id="rId11"/>
          <w:footerReference w:type="default" r:id="rId12"/>
          <w:headerReference w:type="first" r:id="rId13"/>
          <w:footerReference w:type="first" r:id="rId14"/>
          <w:pgSz w:w="11900" w:h="16820"/>
          <w:pgMar w:top="851" w:right="1268" w:bottom="851" w:left="1276" w:header="708" w:footer="708" w:gutter="0"/>
          <w:cols w:space="708"/>
          <w:titlePg/>
        </w:sectPr>
      </w:pPr>
    </w:p>
    <w:p w14:paraId="604A17F1" w14:textId="77777777" w:rsidR="007F5B07" w:rsidRPr="007F5B07" w:rsidRDefault="007F5B07"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ind w:left="720" w:hanging="720"/>
        <w:outlineLvl w:val="0"/>
        <w:rPr>
          <w:rFonts w:ascii="Calibri" w:eastAsia="Times New Roman" w:hAnsi="Calibri" w:cs="Times New Roman"/>
          <w:b/>
          <w:bCs/>
          <w:caps/>
          <w:color w:val="FFFFFF"/>
          <w:spacing w:val="15"/>
          <w:sz w:val="22"/>
          <w:szCs w:val="22"/>
          <w:lang w:val="en-IE" w:eastAsia="en-US" w:bidi="en-US"/>
        </w:rPr>
      </w:pPr>
      <w:bookmarkStart w:id="1" w:name="_Toc285028562"/>
      <w:bookmarkStart w:id="2" w:name="_Toc489276433"/>
      <w:r w:rsidRPr="007F5B07">
        <w:rPr>
          <w:rFonts w:ascii="Calibri" w:eastAsia="Times New Roman" w:hAnsi="Calibri" w:cs="Times New Roman"/>
          <w:b/>
          <w:bCs/>
          <w:caps/>
          <w:color w:val="FFFFFF"/>
          <w:spacing w:val="15"/>
          <w:sz w:val="22"/>
          <w:szCs w:val="22"/>
          <w:lang w:val="en-IE" w:eastAsia="en-US" w:bidi="en-US"/>
        </w:rPr>
        <w:lastRenderedPageBreak/>
        <w:t>executive summary</w:t>
      </w:r>
      <w:bookmarkEnd w:id="1"/>
      <w:bookmarkEnd w:id="2"/>
    </w:p>
    <w:p w14:paraId="15856068" w14:textId="77777777" w:rsid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Testing tariffs are applied to units under test in the Single Electricity Market (SEM) on the basis of the registered capacity of the generator unit. The tariffs are dependent upon the type of test being carried out and the risk to system security. There are a number of costs that the Transmission System Operators (TSOs) consider are appropriate for inclusion in the testing tariffs. These costs relate to the additional operational reserve carried to maintain system security when a unit is testing, the effect a Generator Unit Under Test (GUUT) has on unit commitment decisions, and the costs incurred when a units output drops very quickly.</w:t>
      </w:r>
    </w:p>
    <w:p w14:paraId="6F843178" w14:textId="101A4499" w:rsidR="006229FB" w:rsidRPr="007F5B07" w:rsidRDefault="006229FB" w:rsidP="007F5B07">
      <w:pPr>
        <w:spacing w:before="200" w:after="200" w:line="276" w:lineRule="auto"/>
        <w:jc w:val="both"/>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 xml:space="preserve">The TSOs are currently consulting </w:t>
      </w:r>
      <w:r w:rsidR="00A90EA2">
        <w:rPr>
          <w:rFonts w:ascii="Calibri" w:eastAsia="Times New Roman" w:hAnsi="Calibri" w:cs="Times New Roman"/>
          <w:sz w:val="20"/>
          <w:szCs w:val="20"/>
          <w:lang w:val="en-IE" w:eastAsia="en-US" w:bidi="en-US"/>
        </w:rPr>
        <w:t xml:space="preserve">on the testing tariff </w:t>
      </w:r>
      <w:r w:rsidR="004B4C4C">
        <w:rPr>
          <w:rFonts w:ascii="Calibri" w:eastAsia="Times New Roman" w:hAnsi="Calibri" w:cs="Times New Roman"/>
          <w:sz w:val="20"/>
          <w:szCs w:val="20"/>
          <w:lang w:val="en-IE" w:eastAsia="en-US" w:bidi="en-US"/>
        </w:rPr>
        <w:t>arrangements</w:t>
      </w:r>
      <w:r w:rsidR="00016E80">
        <w:rPr>
          <w:rFonts w:ascii="Calibri" w:eastAsia="Times New Roman" w:hAnsi="Calibri" w:cs="Times New Roman"/>
          <w:sz w:val="20"/>
          <w:szCs w:val="20"/>
          <w:lang w:val="en-IE" w:eastAsia="en-US" w:bidi="en-US"/>
        </w:rPr>
        <w:t xml:space="preserve"> in</w:t>
      </w:r>
      <w:r w:rsidR="00A90EA2">
        <w:rPr>
          <w:rFonts w:ascii="Calibri" w:eastAsia="Times New Roman" w:hAnsi="Calibri" w:cs="Times New Roman"/>
          <w:sz w:val="20"/>
          <w:szCs w:val="20"/>
          <w:lang w:val="en-IE" w:eastAsia="en-US" w:bidi="en-US"/>
        </w:rPr>
        <w:t xml:space="preserve"> light of the new Integrated Electricity </w:t>
      </w:r>
      <w:r w:rsidR="00016E80">
        <w:rPr>
          <w:rFonts w:ascii="Calibri" w:eastAsia="Times New Roman" w:hAnsi="Calibri" w:cs="Times New Roman"/>
          <w:sz w:val="20"/>
          <w:szCs w:val="20"/>
          <w:lang w:val="en-IE" w:eastAsia="en-US" w:bidi="en-US"/>
        </w:rPr>
        <w:t>Market (I-SEM)</w:t>
      </w:r>
      <w:r w:rsidR="004B4C4C">
        <w:rPr>
          <w:rFonts w:ascii="Calibri" w:eastAsia="Times New Roman" w:hAnsi="Calibri" w:cs="Times New Roman"/>
          <w:sz w:val="20"/>
          <w:szCs w:val="20"/>
          <w:lang w:val="en-IE" w:eastAsia="en-US" w:bidi="en-US"/>
        </w:rPr>
        <w:t xml:space="preserve"> which is due to go live in Ireland and Northern Ireland </w:t>
      </w:r>
      <w:r w:rsidR="00E2130F">
        <w:rPr>
          <w:rFonts w:ascii="Calibri" w:eastAsia="Times New Roman" w:hAnsi="Calibri" w:cs="Times New Roman"/>
          <w:sz w:val="20"/>
          <w:szCs w:val="20"/>
          <w:lang w:val="en-IE" w:eastAsia="en-US" w:bidi="en-US"/>
        </w:rPr>
        <w:t>during 2018.</w:t>
      </w:r>
    </w:p>
    <w:p w14:paraId="38D01FD1" w14:textId="0D336FA8"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This report to the Regulatory Authorities </w:t>
      </w:r>
      <w:r w:rsidR="00006B7B">
        <w:rPr>
          <w:rFonts w:ascii="Calibri" w:eastAsia="Times New Roman" w:hAnsi="Calibri" w:cs="Times New Roman"/>
          <w:sz w:val="20"/>
          <w:szCs w:val="20"/>
          <w:lang w:val="en-IE" w:eastAsia="en-US" w:bidi="en-US"/>
        </w:rPr>
        <w:t>proposes that the</w:t>
      </w:r>
      <w:r w:rsidRPr="007F5B07">
        <w:rPr>
          <w:rFonts w:ascii="Calibri" w:eastAsia="Times New Roman" w:hAnsi="Calibri" w:cs="Times New Roman"/>
          <w:sz w:val="20"/>
          <w:szCs w:val="20"/>
          <w:lang w:val="en-IE" w:eastAsia="en-US" w:bidi="en-US"/>
        </w:rPr>
        <w:t xml:space="preserve"> amounts fo</w:t>
      </w:r>
      <w:r w:rsidR="00006B7B">
        <w:rPr>
          <w:rFonts w:ascii="Calibri" w:eastAsia="Times New Roman" w:hAnsi="Calibri" w:cs="Times New Roman"/>
          <w:sz w:val="20"/>
          <w:szCs w:val="20"/>
          <w:lang w:val="en-IE" w:eastAsia="en-US" w:bidi="en-US"/>
        </w:rPr>
        <w:t>r Tariff A and Tariff B until the implementation of I-SEM in 2018</w:t>
      </w:r>
      <w:r w:rsidRPr="007F5B07">
        <w:rPr>
          <w:rFonts w:ascii="Calibri" w:eastAsia="Times New Roman" w:hAnsi="Calibri" w:cs="Times New Roman"/>
          <w:sz w:val="20"/>
          <w:szCs w:val="20"/>
          <w:lang w:val="en-IE" w:eastAsia="en-US" w:bidi="en-US"/>
        </w:rPr>
        <w:t xml:space="preserve"> </w:t>
      </w:r>
      <w:r w:rsidR="00006B7B">
        <w:rPr>
          <w:rFonts w:ascii="Calibri" w:eastAsia="Times New Roman" w:hAnsi="Calibri" w:cs="Times New Roman"/>
          <w:sz w:val="20"/>
          <w:szCs w:val="20"/>
          <w:lang w:val="en-IE" w:eastAsia="en-US" w:bidi="en-US"/>
        </w:rPr>
        <w:t>remain the same as the existing rates for 2017</w:t>
      </w:r>
      <w:r w:rsidR="00387B29">
        <w:rPr>
          <w:rFonts w:ascii="Calibri" w:eastAsia="Times New Roman" w:hAnsi="Calibri" w:cs="Times New Roman"/>
          <w:sz w:val="20"/>
          <w:szCs w:val="20"/>
          <w:lang w:val="en-IE" w:eastAsia="en-US" w:bidi="en-US"/>
        </w:rPr>
        <w:t xml:space="preserve"> due to the short duration of SEM in 2018.</w:t>
      </w:r>
      <w:r w:rsidRPr="007F5B07">
        <w:rPr>
          <w:rFonts w:ascii="Calibri" w:eastAsia="Times New Roman" w:hAnsi="Calibri" w:cs="Times New Roman"/>
          <w:sz w:val="20"/>
          <w:szCs w:val="20"/>
          <w:lang w:val="en-IE" w:eastAsia="en-US" w:bidi="en-US"/>
        </w:rPr>
        <w:t xml:space="preserve"> </w:t>
      </w:r>
    </w:p>
    <w:p w14:paraId="78F58B16"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p w14:paraId="7EE5B0E4"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p>
    <w:p w14:paraId="4CC01C3B"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p>
    <w:p w14:paraId="0107D197"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p>
    <w:p w14:paraId="24002C47"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p>
    <w:p w14:paraId="35AF6FE5"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p>
    <w:p w14:paraId="266469D7" w14:textId="77777777" w:rsidR="007F5B07" w:rsidRPr="007F5B07" w:rsidRDefault="007F5B07" w:rsidP="007F5B07">
      <w:pPr>
        <w:spacing w:before="200" w:after="200"/>
        <w:rPr>
          <w:rFonts w:ascii="Calibri" w:eastAsia="Times New Roman" w:hAnsi="Calibri" w:cs="Times New Roman"/>
          <w:sz w:val="20"/>
          <w:szCs w:val="20"/>
          <w:lang w:val="en-IE" w:eastAsia="en-US" w:bidi="en-US"/>
        </w:rPr>
      </w:pPr>
    </w:p>
    <w:p w14:paraId="753D1D77" w14:textId="5E33FB44" w:rsidR="007F5B07" w:rsidRPr="007F5B07" w:rsidRDefault="007F5B07" w:rsidP="007F5B07">
      <w:pPr>
        <w:spacing w:before="200" w:after="200" w:line="276" w:lineRule="auto"/>
        <w:rPr>
          <w:rFonts w:ascii="Calibri" w:eastAsia="Times New Roman" w:hAnsi="Calibri" w:cs="Times New Roman"/>
          <w:b/>
          <w:noProof/>
          <w:sz w:val="20"/>
          <w:szCs w:val="20"/>
          <w:lang w:val="en-IE" w:eastAsia="en-IE" w:bidi="en-US"/>
        </w:rPr>
      </w:pPr>
      <w:r w:rsidRPr="007F5B07">
        <w:rPr>
          <w:rFonts w:ascii="Calibri" w:eastAsia="Times New Roman" w:hAnsi="Calibri" w:cs="Times New Roman"/>
          <w:sz w:val="20"/>
          <w:szCs w:val="20"/>
          <w:lang w:val="en-IE" w:eastAsia="en-US" w:bidi="en-US"/>
        </w:rPr>
        <w:br w:type="page"/>
      </w:r>
    </w:p>
    <w:sdt>
      <w:sdtPr>
        <w:rPr>
          <w:rFonts w:ascii="Calibri" w:eastAsia="Times New Roman" w:hAnsi="Calibri" w:cs="Times New Roman"/>
          <w:sz w:val="20"/>
          <w:szCs w:val="20"/>
          <w:lang w:val="en-IE" w:eastAsia="en-US" w:bidi="en-US"/>
        </w:rPr>
        <w:id w:val="193223720"/>
        <w:docPartObj>
          <w:docPartGallery w:val="Table of Contents"/>
          <w:docPartUnique/>
        </w:docPartObj>
      </w:sdtPr>
      <w:sdtEndPr/>
      <w:sdtContent>
        <w:p w14:paraId="44A05F8F" w14:textId="77777777" w:rsidR="007F5B07" w:rsidRPr="007F5B07" w:rsidRDefault="007F5B07"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rPr>
              <w:rFonts w:ascii="Calibri" w:eastAsia="Times New Roman" w:hAnsi="Calibri" w:cs="Times New Roman"/>
              <w:b/>
              <w:bCs/>
              <w:caps/>
              <w:color w:val="FFFFFF"/>
              <w:spacing w:val="15"/>
              <w:sz w:val="22"/>
              <w:szCs w:val="22"/>
              <w:lang w:val="en-IE" w:eastAsia="en-US" w:bidi="en-US"/>
            </w:rPr>
          </w:pPr>
          <w:r w:rsidRPr="007F5B07">
            <w:rPr>
              <w:rFonts w:ascii="Calibri" w:eastAsia="Times New Roman" w:hAnsi="Calibri" w:cs="Times New Roman"/>
              <w:b/>
              <w:bCs/>
              <w:caps/>
              <w:color w:val="FFFFFF"/>
              <w:spacing w:val="15"/>
              <w:sz w:val="22"/>
              <w:szCs w:val="22"/>
              <w:lang w:val="en-IE" w:eastAsia="en-US" w:bidi="en-US"/>
            </w:rPr>
            <w:t>Table of Contents</w:t>
          </w:r>
        </w:p>
        <w:p w14:paraId="410C2524" w14:textId="77777777" w:rsidR="00760456" w:rsidRDefault="007F5B07">
          <w:pPr>
            <w:pStyle w:val="TOC1"/>
            <w:tabs>
              <w:tab w:val="right" w:leader="dot" w:pos="9346"/>
            </w:tabs>
            <w:rPr>
              <w:noProof/>
              <w:lang w:val="en-IE" w:eastAsia="en-IE"/>
            </w:rPr>
          </w:pPr>
          <w:r w:rsidRPr="007F5B07">
            <w:rPr>
              <w:rFonts w:ascii="Cambria" w:eastAsia="Times New Roman" w:hAnsi="Cambria" w:cs="Times New Roman"/>
              <w:b/>
              <w:bCs/>
              <w:caps/>
              <w:lang w:val="en-IE" w:eastAsia="en-US" w:bidi="en-US"/>
            </w:rPr>
            <w:fldChar w:fldCharType="begin"/>
          </w:r>
          <w:r w:rsidRPr="007F5B07">
            <w:rPr>
              <w:rFonts w:ascii="Cambria" w:eastAsia="Times New Roman" w:hAnsi="Cambria" w:cs="Times New Roman"/>
              <w:b/>
              <w:bCs/>
              <w:caps/>
              <w:lang w:val="en-IE" w:eastAsia="en-US" w:bidi="en-US"/>
            </w:rPr>
            <w:instrText xml:space="preserve"> TOC \o "1-3" \h \z \u </w:instrText>
          </w:r>
          <w:r w:rsidRPr="007F5B07">
            <w:rPr>
              <w:rFonts w:ascii="Cambria" w:eastAsia="Times New Roman" w:hAnsi="Cambria" w:cs="Times New Roman"/>
              <w:b/>
              <w:bCs/>
              <w:caps/>
              <w:lang w:val="en-IE" w:eastAsia="en-US" w:bidi="en-US"/>
            </w:rPr>
            <w:fldChar w:fldCharType="separate"/>
          </w:r>
          <w:hyperlink w:anchor="_Toc489276433" w:history="1">
            <w:r w:rsidR="00760456" w:rsidRPr="00004E57">
              <w:rPr>
                <w:rStyle w:val="Hyperlink"/>
                <w:rFonts w:ascii="Calibri" w:eastAsia="Times New Roman" w:hAnsi="Calibri" w:cs="Times New Roman"/>
                <w:b/>
                <w:bCs/>
                <w:caps/>
                <w:noProof/>
                <w:spacing w:val="15"/>
                <w:lang w:val="en-IE" w:eastAsia="en-US" w:bidi="en-US"/>
              </w:rPr>
              <w:t>executive summary</w:t>
            </w:r>
            <w:r w:rsidR="00760456">
              <w:rPr>
                <w:noProof/>
                <w:webHidden/>
              </w:rPr>
              <w:tab/>
            </w:r>
            <w:r w:rsidR="00760456">
              <w:rPr>
                <w:noProof/>
                <w:webHidden/>
              </w:rPr>
              <w:fldChar w:fldCharType="begin"/>
            </w:r>
            <w:r w:rsidR="00760456">
              <w:rPr>
                <w:noProof/>
                <w:webHidden/>
              </w:rPr>
              <w:instrText xml:space="preserve"> PAGEREF _Toc489276433 \h </w:instrText>
            </w:r>
            <w:r w:rsidR="00760456">
              <w:rPr>
                <w:noProof/>
                <w:webHidden/>
              </w:rPr>
            </w:r>
            <w:r w:rsidR="00760456">
              <w:rPr>
                <w:noProof/>
                <w:webHidden/>
              </w:rPr>
              <w:fldChar w:fldCharType="separate"/>
            </w:r>
            <w:r w:rsidR="00760456">
              <w:rPr>
                <w:noProof/>
                <w:webHidden/>
              </w:rPr>
              <w:t>2</w:t>
            </w:r>
            <w:r w:rsidR="00760456">
              <w:rPr>
                <w:noProof/>
                <w:webHidden/>
              </w:rPr>
              <w:fldChar w:fldCharType="end"/>
            </w:r>
          </w:hyperlink>
        </w:p>
        <w:p w14:paraId="09F9BE62" w14:textId="77777777" w:rsidR="00760456" w:rsidRDefault="005151F1">
          <w:pPr>
            <w:pStyle w:val="TOC1"/>
            <w:tabs>
              <w:tab w:val="right" w:leader="dot" w:pos="9346"/>
            </w:tabs>
            <w:rPr>
              <w:noProof/>
              <w:lang w:val="en-IE" w:eastAsia="en-IE"/>
            </w:rPr>
          </w:pPr>
          <w:hyperlink w:anchor="_Toc489276434" w:history="1">
            <w:r w:rsidR="00760456" w:rsidRPr="00004E57">
              <w:rPr>
                <w:rStyle w:val="Hyperlink"/>
                <w:rFonts w:ascii="Calibri" w:eastAsia="Times New Roman" w:hAnsi="Calibri" w:cs="Times New Roman"/>
                <w:b/>
                <w:bCs/>
                <w:caps/>
                <w:noProof/>
                <w:spacing w:val="15"/>
                <w:lang w:val="en-IE" w:eastAsia="en-US" w:bidi="en-US"/>
              </w:rPr>
              <w:t>1.0 Introduction</w:t>
            </w:r>
            <w:r w:rsidR="00760456">
              <w:rPr>
                <w:noProof/>
                <w:webHidden/>
              </w:rPr>
              <w:tab/>
            </w:r>
            <w:r w:rsidR="00760456">
              <w:rPr>
                <w:noProof/>
                <w:webHidden/>
              </w:rPr>
              <w:fldChar w:fldCharType="begin"/>
            </w:r>
            <w:r w:rsidR="00760456">
              <w:rPr>
                <w:noProof/>
                <w:webHidden/>
              </w:rPr>
              <w:instrText xml:space="preserve"> PAGEREF _Toc489276434 \h </w:instrText>
            </w:r>
            <w:r w:rsidR="00760456">
              <w:rPr>
                <w:noProof/>
                <w:webHidden/>
              </w:rPr>
            </w:r>
            <w:r w:rsidR="00760456">
              <w:rPr>
                <w:noProof/>
                <w:webHidden/>
              </w:rPr>
              <w:fldChar w:fldCharType="separate"/>
            </w:r>
            <w:r w:rsidR="00760456">
              <w:rPr>
                <w:noProof/>
                <w:webHidden/>
              </w:rPr>
              <w:t>4</w:t>
            </w:r>
            <w:r w:rsidR="00760456">
              <w:rPr>
                <w:noProof/>
                <w:webHidden/>
              </w:rPr>
              <w:fldChar w:fldCharType="end"/>
            </w:r>
          </w:hyperlink>
        </w:p>
        <w:p w14:paraId="4D096315" w14:textId="77777777" w:rsidR="00760456" w:rsidRDefault="005151F1">
          <w:pPr>
            <w:pStyle w:val="TOC1"/>
            <w:tabs>
              <w:tab w:val="right" w:leader="dot" w:pos="9346"/>
            </w:tabs>
            <w:rPr>
              <w:noProof/>
              <w:lang w:val="en-IE" w:eastAsia="en-IE"/>
            </w:rPr>
          </w:pPr>
          <w:hyperlink w:anchor="_Toc489276435" w:history="1">
            <w:r w:rsidR="00760456" w:rsidRPr="00004E57">
              <w:rPr>
                <w:rStyle w:val="Hyperlink"/>
                <w:rFonts w:ascii="Calibri" w:eastAsia="Times New Roman" w:hAnsi="Calibri" w:cs="Times New Roman"/>
                <w:b/>
                <w:bCs/>
                <w:caps/>
                <w:noProof/>
                <w:spacing w:val="15"/>
                <w:lang w:val="en-IE" w:eastAsia="en-US" w:bidi="en-US"/>
              </w:rPr>
              <w:t>2.0 Request for comments</w:t>
            </w:r>
            <w:r w:rsidR="00760456">
              <w:rPr>
                <w:noProof/>
                <w:webHidden/>
              </w:rPr>
              <w:tab/>
            </w:r>
            <w:r w:rsidR="00760456">
              <w:rPr>
                <w:noProof/>
                <w:webHidden/>
              </w:rPr>
              <w:fldChar w:fldCharType="begin"/>
            </w:r>
            <w:r w:rsidR="00760456">
              <w:rPr>
                <w:noProof/>
                <w:webHidden/>
              </w:rPr>
              <w:instrText xml:space="preserve"> PAGEREF _Toc489276435 \h </w:instrText>
            </w:r>
            <w:r w:rsidR="00760456">
              <w:rPr>
                <w:noProof/>
                <w:webHidden/>
              </w:rPr>
            </w:r>
            <w:r w:rsidR="00760456">
              <w:rPr>
                <w:noProof/>
                <w:webHidden/>
              </w:rPr>
              <w:fldChar w:fldCharType="separate"/>
            </w:r>
            <w:r w:rsidR="00760456">
              <w:rPr>
                <w:noProof/>
                <w:webHidden/>
              </w:rPr>
              <w:t>5</w:t>
            </w:r>
            <w:r w:rsidR="00760456">
              <w:rPr>
                <w:noProof/>
                <w:webHidden/>
              </w:rPr>
              <w:fldChar w:fldCharType="end"/>
            </w:r>
          </w:hyperlink>
        </w:p>
        <w:p w14:paraId="7C2B0048" w14:textId="77777777" w:rsidR="00760456" w:rsidRDefault="005151F1">
          <w:pPr>
            <w:pStyle w:val="TOC1"/>
            <w:tabs>
              <w:tab w:val="right" w:leader="dot" w:pos="9346"/>
            </w:tabs>
            <w:rPr>
              <w:noProof/>
              <w:lang w:val="en-IE" w:eastAsia="en-IE"/>
            </w:rPr>
          </w:pPr>
          <w:hyperlink w:anchor="_Toc489276436" w:history="1">
            <w:r w:rsidR="00760456" w:rsidRPr="00004E57">
              <w:rPr>
                <w:rStyle w:val="Hyperlink"/>
                <w:rFonts w:ascii="Calibri" w:eastAsia="Times New Roman" w:hAnsi="Calibri" w:cs="Times New Roman"/>
                <w:b/>
                <w:bCs/>
                <w:caps/>
                <w:noProof/>
                <w:spacing w:val="15"/>
                <w:lang w:val="en-IE" w:eastAsia="en-US" w:bidi="en-US"/>
              </w:rPr>
              <w:t>3.0 Generator Testing</w:t>
            </w:r>
            <w:r w:rsidR="00760456">
              <w:rPr>
                <w:noProof/>
                <w:webHidden/>
              </w:rPr>
              <w:tab/>
            </w:r>
            <w:r w:rsidR="00760456">
              <w:rPr>
                <w:noProof/>
                <w:webHidden/>
              </w:rPr>
              <w:fldChar w:fldCharType="begin"/>
            </w:r>
            <w:r w:rsidR="00760456">
              <w:rPr>
                <w:noProof/>
                <w:webHidden/>
              </w:rPr>
              <w:instrText xml:space="preserve"> PAGEREF _Toc489276436 \h </w:instrText>
            </w:r>
            <w:r w:rsidR="00760456">
              <w:rPr>
                <w:noProof/>
                <w:webHidden/>
              </w:rPr>
            </w:r>
            <w:r w:rsidR="00760456">
              <w:rPr>
                <w:noProof/>
                <w:webHidden/>
              </w:rPr>
              <w:fldChar w:fldCharType="separate"/>
            </w:r>
            <w:r w:rsidR="00760456">
              <w:rPr>
                <w:noProof/>
                <w:webHidden/>
              </w:rPr>
              <w:t>6</w:t>
            </w:r>
            <w:r w:rsidR="00760456">
              <w:rPr>
                <w:noProof/>
                <w:webHidden/>
              </w:rPr>
              <w:fldChar w:fldCharType="end"/>
            </w:r>
          </w:hyperlink>
        </w:p>
        <w:p w14:paraId="18B6BA54" w14:textId="77777777" w:rsidR="00760456" w:rsidRDefault="005151F1">
          <w:pPr>
            <w:pStyle w:val="TOC2"/>
            <w:tabs>
              <w:tab w:val="right" w:leader="dot" w:pos="9346"/>
            </w:tabs>
            <w:rPr>
              <w:noProof/>
              <w:lang w:val="en-IE" w:eastAsia="en-IE"/>
            </w:rPr>
          </w:pPr>
          <w:hyperlink w:anchor="_Toc489276437" w:history="1">
            <w:r w:rsidR="00760456" w:rsidRPr="00004E57">
              <w:rPr>
                <w:rStyle w:val="Hyperlink"/>
                <w:rFonts w:ascii="Calibri" w:eastAsia="Times New Roman" w:hAnsi="Calibri" w:cs="Times New Roman"/>
                <w:caps/>
                <w:noProof/>
                <w:spacing w:val="15"/>
                <w:lang w:val="en-IE" w:eastAsia="en-US" w:bidi="en-US"/>
              </w:rPr>
              <w:t>3.1 Purpose of Generator Testing</w:t>
            </w:r>
            <w:r w:rsidR="00760456">
              <w:rPr>
                <w:noProof/>
                <w:webHidden/>
              </w:rPr>
              <w:tab/>
            </w:r>
            <w:r w:rsidR="00760456">
              <w:rPr>
                <w:noProof/>
                <w:webHidden/>
              </w:rPr>
              <w:fldChar w:fldCharType="begin"/>
            </w:r>
            <w:r w:rsidR="00760456">
              <w:rPr>
                <w:noProof/>
                <w:webHidden/>
              </w:rPr>
              <w:instrText xml:space="preserve"> PAGEREF _Toc489276437 \h </w:instrText>
            </w:r>
            <w:r w:rsidR="00760456">
              <w:rPr>
                <w:noProof/>
                <w:webHidden/>
              </w:rPr>
            </w:r>
            <w:r w:rsidR="00760456">
              <w:rPr>
                <w:noProof/>
                <w:webHidden/>
              </w:rPr>
              <w:fldChar w:fldCharType="separate"/>
            </w:r>
            <w:r w:rsidR="00760456">
              <w:rPr>
                <w:noProof/>
                <w:webHidden/>
              </w:rPr>
              <w:t>6</w:t>
            </w:r>
            <w:r w:rsidR="00760456">
              <w:rPr>
                <w:noProof/>
                <w:webHidden/>
              </w:rPr>
              <w:fldChar w:fldCharType="end"/>
            </w:r>
          </w:hyperlink>
        </w:p>
        <w:p w14:paraId="3516D8D8" w14:textId="77777777" w:rsidR="00760456" w:rsidRDefault="005151F1">
          <w:pPr>
            <w:pStyle w:val="TOC2"/>
            <w:tabs>
              <w:tab w:val="right" w:leader="dot" w:pos="9346"/>
            </w:tabs>
            <w:rPr>
              <w:noProof/>
              <w:lang w:val="en-IE" w:eastAsia="en-IE"/>
            </w:rPr>
          </w:pPr>
          <w:hyperlink w:anchor="_Toc489276438" w:history="1">
            <w:r w:rsidR="00760456" w:rsidRPr="00004E57">
              <w:rPr>
                <w:rStyle w:val="Hyperlink"/>
                <w:rFonts w:ascii="Calibri" w:eastAsia="Times New Roman" w:hAnsi="Calibri" w:cs="Times New Roman"/>
                <w:caps/>
                <w:noProof/>
                <w:spacing w:val="15"/>
                <w:lang w:val="en-IE" w:eastAsia="en-US" w:bidi="en-US"/>
              </w:rPr>
              <w:t>3.1.1 Cost of testing</w:t>
            </w:r>
            <w:r w:rsidR="00760456">
              <w:rPr>
                <w:noProof/>
                <w:webHidden/>
              </w:rPr>
              <w:tab/>
            </w:r>
            <w:r w:rsidR="00760456">
              <w:rPr>
                <w:noProof/>
                <w:webHidden/>
              </w:rPr>
              <w:fldChar w:fldCharType="begin"/>
            </w:r>
            <w:r w:rsidR="00760456">
              <w:rPr>
                <w:noProof/>
                <w:webHidden/>
              </w:rPr>
              <w:instrText xml:space="preserve"> PAGEREF _Toc489276438 \h </w:instrText>
            </w:r>
            <w:r w:rsidR="00760456">
              <w:rPr>
                <w:noProof/>
                <w:webHidden/>
              </w:rPr>
            </w:r>
            <w:r w:rsidR="00760456">
              <w:rPr>
                <w:noProof/>
                <w:webHidden/>
              </w:rPr>
              <w:fldChar w:fldCharType="separate"/>
            </w:r>
            <w:r w:rsidR="00760456">
              <w:rPr>
                <w:noProof/>
                <w:webHidden/>
              </w:rPr>
              <w:t>6</w:t>
            </w:r>
            <w:r w:rsidR="00760456">
              <w:rPr>
                <w:noProof/>
                <w:webHidden/>
              </w:rPr>
              <w:fldChar w:fldCharType="end"/>
            </w:r>
          </w:hyperlink>
        </w:p>
        <w:p w14:paraId="4889B660" w14:textId="77777777" w:rsidR="00760456" w:rsidRDefault="005151F1">
          <w:pPr>
            <w:pStyle w:val="TOC2"/>
            <w:tabs>
              <w:tab w:val="left" w:pos="1100"/>
              <w:tab w:val="right" w:leader="dot" w:pos="9346"/>
            </w:tabs>
            <w:rPr>
              <w:noProof/>
              <w:lang w:val="en-IE" w:eastAsia="en-IE"/>
            </w:rPr>
          </w:pPr>
          <w:hyperlink w:anchor="_Toc489276439" w:history="1">
            <w:r w:rsidR="00760456" w:rsidRPr="00004E57">
              <w:rPr>
                <w:rStyle w:val="Hyperlink"/>
                <w:rFonts w:ascii="Calibri" w:eastAsia="Times New Roman" w:hAnsi="Calibri" w:cs="Times New Roman"/>
                <w:caps/>
                <w:noProof/>
                <w:spacing w:val="15"/>
                <w:lang w:val="en-IE" w:eastAsia="en-US" w:bidi="en-US"/>
              </w:rPr>
              <w:t>3.1.2</w:t>
            </w:r>
            <w:r w:rsidR="00760456">
              <w:rPr>
                <w:noProof/>
                <w:lang w:val="en-IE" w:eastAsia="en-IE"/>
              </w:rPr>
              <w:tab/>
            </w:r>
            <w:r w:rsidR="00760456" w:rsidRPr="00004E57">
              <w:rPr>
                <w:rStyle w:val="Hyperlink"/>
                <w:rFonts w:ascii="Calibri" w:eastAsia="Times New Roman" w:hAnsi="Calibri" w:cs="Times New Roman"/>
                <w:caps/>
                <w:noProof/>
                <w:spacing w:val="15"/>
                <w:lang w:val="en-IE" w:eastAsia="en-US" w:bidi="en-US"/>
              </w:rPr>
              <w:t>Generator Testing</w:t>
            </w:r>
            <w:r w:rsidR="00760456">
              <w:rPr>
                <w:noProof/>
                <w:webHidden/>
              </w:rPr>
              <w:tab/>
            </w:r>
            <w:r w:rsidR="00760456">
              <w:rPr>
                <w:noProof/>
                <w:webHidden/>
              </w:rPr>
              <w:fldChar w:fldCharType="begin"/>
            </w:r>
            <w:r w:rsidR="00760456">
              <w:rPr>
                <w:noProof/>
                <w:webHidden/>
              </w:rPr>
              <w:instrText xml:space="preserve"> PAGEREF _Toc489276439 \h </w:instrText>
            </w:r>
            <w:r w:rsidR="00760456">
              <w:rPr>
                <w:noProof/>
                <w:webHidden/>
              </w:rPr>
            </w:r>
            <w:r w:rsidR="00760456">
              <w:rPr>
                <w:noProof/>
                <w:webHidden/>
              </w:rPr>
              <w:fldChar w:fldCharType="separate"/>
            </w:r>
            <w:r w:rsidR="00760456">
              <w:rPr>
                <w:noProof/>
                <w:webHidden/>
              </w:rPr>
              <w:t>7</w:t>
            </w:r>
            <w:r w:rsidR="00760456">
              <w:rPr>
                <w:noProof/>
                <w:webHidden/>
              </w:rPr>
              <w:fldChar w:fldCharType="end"/>
            </w:r>
          </w:hyperlink>
        </w:p>
        <w:p w14:paraId="66266DE5" w14:textId="77777777" w:rsidR="00760456" w:rsidRDefault="005151F1">
          <w:pPr>
            <w:pStyle w:val="TOC2"/>
            <w:tabs>
              <w:tab w:val="left" w:pos="880"/>
              <w:tab w:val="right" w:leader="dot" w:pos="9346"/>
            </w:tabs>
            <w:rPr>
              <w:noProof/>
              <w:lang w:val="en-IE" w:eastAsia="en-IE"/>
            </w:rPr>
          </w:pPr>
          <w:hyperlink w:anchor="_Toc489276440" w:history="1">
            <w:r w:rsidR="00760456" w:rsidRPr="00004E57">
              <w:rPr>
                <w:rStyle w:val="Hyperlink"/>
                <w:rFonts w:ascii="Calibri" w:eastAsia="Times New Roman" w:hAnsi="Calibri" w:cs="Times New Roman"/>
                <w:bCs/>
                <w:caps/>
                <w:noProof/>
                <w:spacing w:val="15"/>
                <w:lang w:val="en-IE" w:eastAsia="en-US" w:bidi="en-US"/>
              </w:rPr>
              <w:t>3.2</w:t>
            </w:r>
            <w:r w:rsidR="00760456">
              <w:rPr>
                <w:noProof/>
                <w:lang w:val="en-IE" w:eastAsia="en-IE"/>
              </w:rPr>
              <w:tab/>
            </w:r>
            <w:r w:rsidR="00760456" w:rsidRPr="00004E57">
              <w:rPr>
                <w:rStyle w:val="Hyperlink"/>
                <w:rFonts w:ascii="Calibri" w:eastAsia="Times New Roman" w:hAnsi="Calibri" w:cs="Times New Roman"/>
                <w:caps/>
                <w:noProof/>
                <w:spacing w:val="15"/>
                <w:lang w:val="en-IE" w:eastAsia="en-US" w:bidi="en-US"/>
              </w:rPr>
              <w:t>Assumptions</w:t>
            </w:r>
            <w:r w:rsidR="00760456">
              <w:rPr>
                <w:noProof/>
                <w:webHidden/>
              </w:rPr>
              <w:tab/>
            </w:r>
            <w:r w:rsidR="00760456">
              <w:rPr>
                <w:noProof/>
                <w:webHidden/>
              </w:rPr>
              <w:fldChar w:fldCharType="begin"/>
            </w:r>
            <w:r w:rsidR="00760456">
              <w:rPr>
                <w:noProof/>
                <w:webHidden/>
              </w:rPr>
              <w:instrText xml:space="preserve"> PAGEREF _Toc489276440 \h </w:instrText>
            </w:r>
            <w:r w:rsidR="00760456">
              <w:rPr>
                <w:noProof/>
                <w:webHidden/>
              </w:rPr>
            </w:r>
            <w:r w:rsidR="00760456">
              <w:rPr>
                <w:noProof/>
                <w:webHidden/>
              </w:rPr>
              <w:fldChar w:fldCharType="separate"/>
            </w:r>
            <w:r w:rsidR="00760456">
              <w:rPr>
                <w:noProof/>
                <w:webHidden/>
              </w:rPr>
              <w:t>7</w:t>
            </w:r>
            <w:r w:rsidR="00760456">
              <w:rPr>
                <w:noProof/>
                <w:webHidden/>
              </w:rPr>
              <w:fldChar w:fldCharType="end"/>
            </w:r>
          </w:hyperlink>
        </w:p>
        <w:p w14:paraId="6B52CF0B" w14:textId="77777777" w:rsidR="00760456" w:rsidRDefault="005151F1">
          <w:pPr>
            <w:pStyle w:val="TOC1"/>
            <w:tabs>
              <w:tab w:val="right" w:leader="dot" w:pos="9346"/>
            </w:tabs>
            <w:rPr>
              <w:noProof/>
              <w:lang w:val="en-IE" w:eastAsia="en-IE"/>
            </w:rPr>
          </w:pPr>
          <w:hyperlink w:anchor="_Toc489276441" w:history="1">
            <w:r w:rsidR="00760456" w:rsidRPr="00004E57">
              <w:rPr>
                <w:rStyle w:val="Hyperlink"/>
                <w:rFonts w:ascii="Calibri" w:eastAsia="Times New Roman" w:hAnsi="Calibri" w:cs="Times New Roman"/>
                <w:b/>
                <w:bCs/>
                <w:caps/>
                <w:noProof/>
                <w:spacing w:val="15"/>
                <w:lang w:val="en-IE" w:eastAsia="en-US" w:bidi="en-US"/>
              </w:rPr>
              <w:t>4.0 Proposed Testing Tariffs</w:t>
            </w:r>
            <w:r w:rsidR="00760456">
              <w:rPr>
                <w:noProof/>
                <w:webHidden/>
              </w:rPr>
              <w:tab/>
            </w:r>
            <w:r w:rsidR="00760456">
              <w:rPr>
                <w:noProof/>
                <w:webHidden/>
              </w:rPr>
              <w:fldChar w:fldCharType="begin"/>
            </w:r>
            <w:r w:rsidR="00760456">
              <w:rPr>
                <w:noProof/>
                <w:webHidden/>
              </w:rPr>
              <w:instrText xml:space="preserve"> PAGEREF _Toc489276441 \h </w:instrText>
            </w:r>
            <w:r w:rsidR="00760456">
              <w:rPr>
                <w:noProof/>
                <w:webHidden/>
              </w:rPr>
            </w:r>
            <w:r w:rsidR="00760456">
              <w:rPr>
                <w:noProof/>
                <w:webHidden/>
              </w:rPr>
              <w:fldChar w:fldCharType="separate"/>
            </w:r>
            <w:r w:rsidR="00760456">
              <w:rPr>
                <w:noProof/>
                <w:webHidden/>
              </w:rPr>
              <w:t>8</w:t>
            </w:r>
            <w:r w:rsidR="00760456">
              <w:rPr>
                <w:noProof/>
                <w:webHidden/>
              </w:rPr>
              <w:fldChar w:fldCharType="end"/>
            </w:r>
          </w:hyperlink>
        </w:p>
        <w:p w14:paraId="62DDC591" w14:textId="77777777" w:rsidR="00760456" w:rsidRDefault="005151F1">
          <w:pPr>
            <w:pStyle w:val="TOC2"/>
            <w:tabs>
              <w:tab w:val="right" w:leader="dot" w:pos="9346"/>
            </w:tabs>
            <w:rPr>
              <w:noProof/>
              <w:lang w:val="en-IE" w:eastAsia="en-IE"/>
            </w:rPr>
          </w:pPr>
          <w:hyperlink w:anchor="_Toc489276442" w:history="1">
            <w:r w:rsidR="00760456" w:rsidRPr="00004E57">
              <w:rPr>
                <w:rStyle w:val="Hyperlink"/>
                <w:rFonts w:ascii="Calibri" w:eastAsia="Times New Roman" w:hAnsi="Calibri" w:cs="Times New Roman"/>
                <w:caps/>
                <w:noProof/>
                <w:spacing w:val="15"/>
                <w:lang w:val="en-IE" w:eastAsia="en-US" w:bidi="en-US"/>
              </w:rPr>
              <w:t>4.1 Testing Tariff A</w:t>
            </w:r>
            <w:r w:rsidR="00760456">
              <w:rPr>
                <w:noProof/>
                <w:webHidden/>
              </w:rPr>
              <w:tab/>
            </w:r>
            <w:r w:rsidR="00760456">
              <w:rPr>
                <w:noProof/>
                <w:webHidden/>
              </w:rPr>
              <w:fldChar w:fldCharType="begin"/>
            </w:r>
            <w:r w:rsidR="00760456">
              <w:rPr>
                <w:noProof/>
                <w:webHidden/>
              </w:rPr>
              <w:instrText xml:space="preserve"> PAGEREF _Toc489276442 \h </w:instrText>
            </w:r>
            <w:r w:rsidR="00760456">
              <w:rPr>
                <w:noProof/>
                <w:webHidden/>
              </w:rPr>
            </w:r>
            <w:r w:rsidR="00760456">
              <w:rPr>
                <w:noProof/>
                <w:webHidden/>
              </w:rPr>
              <w:fldChar w:fldCharType="separate"/>
            </w:r>
            <w:r w:rsidR="00760456">
              <w:rPr>
                <w:noProof/>
                <w:webHidden/>
              </w:rPr>
              <w:t>8</w:t>
            </w:r>
            <w:r w:rsidR="00760456">
              <w:rPr>
                <w:noProof/>
                <w:webHidden/>
              </w:rPr>
              <w:fldChar w:fldCharType="end"/>
            </w:r>
          </w:hyperlink>
        </w:p>
        <w:p w14:paraId="70F12D28" w14:textId="77777777" w:rsidR="00760456" w:rsidRDefault="005151F1">
          <w:pPr>
            <w:pStyle w:val="TOC3"/>
            <w:tabs>
              <w:tab w:val="right" w:leader="dot" w:pos="9346"/>
            </w:tabs>
            <w:rPr>
              <w:noProof/>
              <w:lang w:val="en-IE" w:eastAsia="en-IE"/>
            </w:rPr>
          </w:pPr>
          <w:hyperlink w:anchor="_Toc489276443" w:history="1">
            <w:r w:rsidR="00760456" w:rsidRPr="00004E57">
              <w:rPr>
                <w:rStyle w:val="Hyperlink"/>
                <w:rFonts w:ascii="Calibri" w:eastAsia="Times New Roman" w:hAnsi="Calibri" w:cs="Times New Roman"/>
                <w:caps/>
                <w:noProof/>
                <w:spacing w:val="15"/>
                <w:lang w:val="en-IE" w:eastAsia="en-US" w:bidi="en-US"/>
              </w:rPr>
              <w:t>4.1.1 Increased Reserve</w:t>
            </w:r>
            <w:r w:rsidR="00760456">
              <w:rPr>
                <w:noProof/>
                <w:webHidden/>
              </w:rPr>
              <w:tab/>
            </w:r>
            <w:r w:rsidR="00760456">
              <w:rPr>
                <w:noProof/>
                <w:webHidden/>
              </w:rPr>
              <w:fldChar w:fldCharType="begin"/>
            </w:r>
            <w:r w:rsidR="00760456">
              <w:rPr>
                <w:noProof/>
                <w:webHidden/>
              </w:rPr>
              <w:instrText xml:space="preserve"> PAGEREF _Toc489276443 \h </w:instrText>
            </w:r>
            <w:r w:rsidR="00760456">
              <w:rPr>
                <w:noProof/>
                <w:webHidden/>
              </w:rPr>
            </w:r>
            <w:r w:rsidR="00760456">
              <w:rPr>
                <w:noProof/>
                <w:webHidden/>
              </w:rPr>
              <w:fldChar w:fldCharType="separate"/>
            </w:r>
            <w:r w:rsidR="00760456">
              <w:rPr>
                <w:noProof/>
                <w:webHidden/>
              </w:rPr>
              <w:t>9</w:t>
            </w:r>
            <w:r w:rsidR="00760456">
              <w:rPr>
                <w:noProof/>
                <w:webHidden/>
              </w:rPr>
              <w:fldChar w:fldCharType="end"/>
            </w:r>
          </w:hyperlink>
        </w:p>
        <w:p w14:paraId="6F5E3D6E" w14:textId="77777777" w:rsidR="00760456" w:rsidRDefault="005151F1">
          <w:pPr>
            <w:pStyle w:val="TOC3"/>
            <w:tabs>
              <w:tab w:val="right" w:leader="dot" w:pos="9346"/>
            </w:tabs>
            <w:rPr>
              <w:noProof/>
              <w:lang w:val="en-IE" w:eastAsia="en-IE"/>
            </w:rPr>
          </w:pPr>
          <w:hyperlink w:anchor="_Toc489276444" w:history="1">
            <w:r w:rsidR="00760456" w:rsidRPr="00004E57">
              <w:rPr>
                <w:rStyle w:val="Hyperlink"/>
                <w:rFonts w:ascii="Calibri" w:eastAsia="Times New Roman" w:hAnsi="Calibri" w:cs="Times New Roman"/>
                <w:caps/>
                <w:noProof/>
                <w:spacing w:val="15"/>
                <w:lang w:val="en-IE" w:eastAsia="en-US" w:bidi="en-US"/>
              </w:rPr>
              <w:t>4.1.2 Reserve Constraint Cost</w:t>
            </w:r>
            <w:r w:rsidR="00760456">
              <w:rPr>
                <w:noProof/>
                <w:webHidden/>
              </w:rPr>
              <w:tab/>
            </w:r>
            <w:r w:rsidR="00760456">
              <w:rPr>
                <w:noProof/>
                <w:webHidden/>
              </w:rPr>
              <w:fldChar w:fldCharType="begin"/>
            </w:r>
            <w:r w:rsidR="00760456">
              <w:rPr>
                <w:noProof/>
                <w:webHidden/>
              </w:rPr>
              <w:instrText xml:space="preserve"> PAGEREF _Toc489276444 \h </w:instrText>
            </w:r>
            <w:r w:rsidR="00760456">
              <w:rPr>
                <w:noProof/>
                <w:webHidden/>
              </w:rPr>
            </w:r>
            <w:r w:rsidR="00760456">
              <w:rPr>
                <w:noProof/>
                <w:webHidden/>
              </w:rPr>
              <w:fldChar w:fldCharType="separate"/>
            </w:r>
            <w:r w:rsidR="00760456">
              <w:rPr>
                <w:noProof/>
                <w:webHidden/>
              </w:rPr>
              <w:t>9</w:t>
            </w:r>
            <w:r w:rsidR="00760456">
              <w:rPr>
                <w:noProof/>
                <w:webHidden/>
              </w:rPr>
              <w:fldChar w:fldCharType="end"/>
            </w:r>
          </w:hyperlink>
        </w:p>
        <w:p w14:paraId="0D67A65E" w14:textId="77777777" w:rsidR="00760456" w:rsidRDefault="005151F1">
          <w:pPr>
            <w:pStyle w:val="TOC3"/>
            <w:tabs>
              <w:tab w:val="right" w:leader="dot" w:pos="9346"/>
            </w:tabs>
            <w:rPr>
              <w:noProof/>
              <w:lang w:val="en-IE" w:eastAsia="en-IE"/>
            </w:rPr>
          </w:pPr>
          <w:hyperlink w:anchor="_Toc489276445" w:history="1">
            <w:r w:rsidR="00760456" w:rsidRPr="00004E57">
              <w:rPr>
                <w:rStyle w:val="Hyperlink"/>
                <w:rFonts w:ascii="Calibri" w:eastAsia="Times New Roman" w:hAnsi="Calibri" w:cs="Times New Roman"/>
                <w:caps/>
                <w:noProof/>
                <w:spacing w:val="15"/>
                <w:lang w:val="en-IE" w:bidi="en-US"/>
              </w:rPr>
              <w:t>4.1.3 Reserve Premium</w:t>
            </w:r>
            <w:r w:rsidR="00760456">
              <w:rPr>
                <w:noProof/>
                <w:webHidden/>
              </w:rPr>
              <w:tab/>
            </w:r>
            <w:r w:rsidR="00760456">
              <w:rPr>
                <w:noProof/>
                <w:webHidden/>
              </w:rPr>
              <w:fldChar w:fldCharType="begin"/>
            </w:r>
            <w:r w:rsidR="00760456">
              <w:rPr>
                <w:noProof/>
                <w:webHidden/>
              </w:rPr>
              <w:instrText xml:space="preserve"> PAGEREF _Toc489276445 \h </w:instrText>
            </w:r>
            <w:r w:rsidR="00760456">
              <w:rPr>
                <w:noProof/>
                <w:webHidden/>
              </w:rPr>
            </w:r>
            <w:r w:rsidR="00760456">
              <w:rPr>
                <w:noProof/>
                <w:webHidden/>
              </w:rPr>
              <w:fldChar w:fldCharType="separate"/>
            </w:r>
            <w:r w:rsidR="00760456">
              <w:rPr>
                <w:noProof/>
                <w:webHidden/>
              </w:rPr>
              <w:t>9</w:t>
            </w:r>
            <w:r w:rsidR="00760456">
              <w:rPr>
                <w:noProof/>
                <w:webHidden/>
              </w:rPr>
              <w:fldChar w:fldCharType="end"/>
            </w:r>
          </w:hyperlink>
        </w:p>
        <w:p w14:paraId="5C660BEF" w14:textId="77777777" w:rsidR="00760456" w:rsidRDefault="005151F1">
          <w:pPr>
            <w:pStyle w:val="TOC3"/>
            <w:tabs>
              <w:tab w:val="right" w:leader="dot" w:pos="9346"/>
            </w:tabs>
            <w:rPr>
              <w:noProof/>
              <w:lang w:val="en-IE" w:eastAsia="en-IE"/>
            </w:rPr>
          </w:pPr>
          <w:hyperlink w:anchor="_Toc489276446" w:history="1">
            <w:r w:rsidR="00760456" w:rsidRPr="00004E57">
              <w:rPr>
                <w:rStyle w:val="Hyperlink"/>
                <w:rFonts w:ascii="Calibri" w:eastAsia="Times New Roman" w:hAnsi="Calibri" w:cs="Times New Roman"/>
                <w:caps/>
                <w:noProof/>
                <w:spacing w:val="15"/>
                <w:lang w:val="en-IE" w:bidi="en-US"/>
              </w:rPr>
              <w:t>4.1.4 Additional Run Hours</w:t>
            </w:r>
            <w:r w:rsidR="00760456">
              <w:rPr>
                <w:noProof/>
                <w:webHidden/>
              </w:rPr>
              <w:tab/>
            </w:r>
            <w:r w:rsidR="00760456">
              <w:rPr>
                <w:noProof/>
                <w:webHidden/>
              </w:rPr>
              <w:fldChar w:fldCharType="begin"/>
            </w:r>
            <w:r w:rsidR="00760456">
              <w:rPr>
                <w:noProof/>
                <w:webHidden/>
              </w:rPr>
              <w:instrText xml:space="preserve"> PAGEREF _Toc489276446 \h </w:instrText>
            </w:r>
            <w:r w:rsidR="00760456">
              <w:rPr>
                <w:noProof/>
                <w:webHidden/>
              </w:rPr>
            </w:r>
            <w:r w:rsidR="00760456">
              <w:rPr>
                <w:noProof/>
                <w:webHidden/>
              </w:rPr>
              <w:fldChar w:fldCharType="separate"/>
            </w:r>
            <w:r w:rsidR="00760456">
              <w:rPr>
                <w:noProof/>
                <w:webHidden/>
              </w:rPr>
              <w:t>9</w:t>
            </w:r>
            <w:r w:rsidR="00760456">
              <w:rPr>
                <w:noProof/>
                <w:webHidden/>
              </w:rPr>
              <w:fldChar w:fldCharType="end"/>
            </w:r>
          </w:hyperlink>
        </w:p>
        <w:p w14:paraId="51E4BAF9" w14:textId="77777777" w:rsidR="00760456" w:rsidRDefault="005151F1">
          <w:pPr>
            <w:pStyle w:val="TOC3"/>
            <w:tabs>
              <w:tab w:val="right" w:leader="dot" w:pos="9346"/>
            </w:tabs>
            <w:rPr>
              <w:noProof/>
              <w:lang w:val="en-IE" w:eastAsia="en-IE"/>
            </w:rPr>
          </w:pPr>
          <w:hyperlink w:anchor="_Toc489276447" w:history="1">
            <w:r w:rsidR="00760456" w:rsidRPr="00004E57">
              <w:rPr>
                <w:rStyle w:val="Hyperlink"/>
                <w:rFonts w:ascii="Calibri" w:eastAsia="Times New Roman" w:hAnsi="Calibri" w:cs="Times New Roman"/>
                <w:caps/>
                <w:noProof/>
                <w:spacing w:val="15"/>
                <w:lang w:val="en-IE" w:eastAsia="en-US" w:bidi="en-US"/>
              </w:rPr>
              <w:t>4.1.5 Costs of output drops (including Tripping)</w:t>
            </w:r>
            <w:r w:rsidR="00760456">
              <w:rPr>
                <w:noProof/>
                <w:webHidden/>
              </w:rPr>
              <w:tab/>
            </w:r>
            <w:r w:rsidR="00760456">
              <w:rPr>
                <w:noProof/>
                <w:webHidden/>
              </w:rPr>
              <w:fldChar w:fldCharType="begin"/>
            </w:r>
            <w:r w:rsidR="00760456">
              <w:rPr>
                <w:noProof/>
                <w:webHidden/>
              </w:rPr>
              <w:instrText xml:space="preserve"> PAGEREF _Toc489276447 \h </w:instrText>
            </w:r>
            <w:r w:rsidR="00760456">
              <w:rPr>
                <w:noProof/>
                <w:webHidden/>
              </w:rPr>
            </w:r>
            <w:r w:rsidR="00760456">
              <w:rPr>
                <w:noProof/>
                <w:webHidden/>
              </w:rPr>
              <w:fldChar w:fldCharType="separate"/>
            </w:r>
            <w:r w:rsidR="00760456">
              <w:rPr>
                <w:noProof/>
                <w:webHidden/>
              </w:rPr>
              <w:t>9</w:t>
            </w:r>
            <w:r w:rsidR="00760456">
              <w:rPr>
                <w:noProof/>
                <w:webHidden/>
              </w:rPr>
              <w:fldChar w:fldCharType="end"/>
            </w:r>
          </w:hyperlink>
        </w:p>
        <w:p w14:paraId="4EE5B28E" w14:textId="77777777" w:rsidR="00760456" w:rsidRDefault="005151F1">
          <w:pPr>
            <w:pStyle w:val="TOC3"/>
            <w:tabs>
              <w:tab w:val="right" w:leader="dot" w:pos="9346"/>
            </w:tabs>
            <w:rPr>
              <w:noProof/>
              <w:lang w:val="en-IE" w:eastAsia="en-IE"/>
            </w:rPr>
          </w:pPr>
          <w:hyperlink w:anchor="_Toc489276448" w:history="1">
            <w:r w:rsidR="00760456" w:rsidRPr="00004E57">
              <w:rPr>
                <w:rStyle w:val="Hyperlink"/>
                <w:rFonts w:ascii="Calibri" w:eastAsia="Times New Roman" w:hAnsi="Calibri" w:cs="Times New Roman"/>
                <w:caps/>
                <w:noProof/>
                <w:spacing w:val="15"/>
                <w:lang w:val="en-IE" w:eastAsia="en-US" w:bidi="en-US"/>
              </w:rPr>
              <w:t>4.1.6 Tariff A Cost Components</w:t>
            </w:r>
            <w:r w:rsidR="00760456">
              <w:rPr>
                <w:noProof/>
                <w:webHidden/>
              </w:rPr>
              <w:tab/>
            </w:r>
            <w:r w:rsidR="00760456">
              <w:rPr>
                <w:noProof/>
                <w:webHidden/>
              </w:rPr>
              <w:fldChar w:fldCharType="begin"/>
            </w:r>
            <w:r w:rsidR="00760456">
              <w:rPr>
                <w:noProof/>
                <w:webHidden/>
              </w:rPr>
              <w:instrText xml:space="preserve"> PAGEREF _Toc489276448 \h </w:instrText>
            </w:r>
            <w:r w:rsidR="00760456">
              <w:rPr>
                <w:noProof/>
                <w:webHidden/>
              </w:rPr>
            </w:r>
            <w:r w:rsidR="00760456">
              <w:rPr>
                <w:noProof/>
                <w:webHidden/>
              </w:rPr>
              <w:fldChar w:fldCharType="separate"/>
            </w:r>
            <w:r w:rsidR="00760456">
              <w:rPr>
                <w:noProof/>
                <w:webHidden/>
              </w:rPr>
              <w:t>10</w:t>
            </w:r>
            <w:r w:rsidR="00760456">
              <w:rPr>
                <w:noProof/>
                <w:webHidden/>
              </w:rPr>
              <w:fldChar w:fldCharType="end"/>
            </w:r>
          </w:hyperlink>
        </w:p>
        <w:p w14:paraId="5CFFD218" w14:textId="77777777" w:rsidR="00760456" w:rsidRDefault="005151F1">
          <w:pPr>
            <w:pStyle w:val="TOC2"/>
            <w:tabs>
              <w:tab w:val="right" w:leader="dot" w:pos="9346"/>
            </w:tabs>
            <w:rPr>
              <w:noProof/>
              <w:lang w:val="en-IE" w:eastAsia="en-IE"/>
            </w:rPr>
          </w:pPr>
          <w:hyperlink w:anchor="_Toc489276449" w:history="1">
            <w:r w:rsidR="00760456" w:rsidRPr="00004E57">
              <w:rPr>
                <w:rStyle w:val="Hyperlink"/>
                <w:rFonts w:ascii="Calibri" w:eastAsia="Times New Roman" w:hAnsi="Calibri" w:cs="Times New Roman"/>
                <w:caps/>
                <w:noProof/>
                <w:spacing w:val="15"/>
                <w:lang w:val="en-IE" w:eastAsia="en-US" w:bidi="en-US"/>
              </w:rPr>
              <w:t>4.2 Testing Tariff B</w:t>
            </w:r>
            <w:r w:rsidR="00760456">
              <w:rPr>
                <w:noProof/>
                <w:webHidden/>
              </w:rPr>
              <w:tab/>
            </w:r>
            <w:r w:rsidR="00760456">
              <w:rPr>
                <w:noProof/>
                <w:webHidden/>
              </w:rPr>
              <w:fldChar w:fldCharType="begin"/>
            </w:r>
            <w:r w:rsidR="00760456">
              <w:rPr>
                <w:noProof/>
                <w:webHidden/>
              </w:rPr>
              <w:instrText xml:space="preserve"> PAGEREF _Toc489276449 \h </w:instrText>
            </w:r>
            <w:r w:rsidR="00760456">
              <w:rPr>
                <w:noProof/>
                <w:webHidden/>
              </w:rPr>
            </w:r>
            <w:r w:rsidR="00760456">
              <w:rPr>
                <w:noProof/>
                <w:webHidden/>
              </w:rPr>
              <w:fldChar w:fldCharType="separate"/>
            </w:r>
            <w:r w:rsidR="00760456">
              <w:rPr>
                <w:noProof/>
                <w:webHidden/>
              </w:rPr>
              <w:t>10</w:t>
            </w:r>
            <w:r w:rsidR="00760456">
              <w:rPr>
                <w:noProof/>
                <w:webHidden/>
              </w:rPr>
              <w:fldChar w:fldCharType="end"/>
            </w:r>
          </w:hyperlink>
        </w:p>
        <w:p w14:paraId="5D2BBAC2" w14:textId="77777777" w:rsidR="00760456" w:rsidRDefault="005151F1">
          <w:pPr>
            <w:pStyle w:val="TOC3"/>
            <w:tabs>
              <w:tab w:val="right" w:leader="dot" w:pos="9346"/>
            </w:tabs>
            <w:rPr>
              <w:noProof/>
              <w:lang w:val="en-IE" w:eastAsia="en-IE"/>
            </w:rPr>
          </w:pPr>
          <w:hyperlink w:anchor="_Toc489276450" w:history="1">
            <w:r w:rsidR="00760456" w:rsidRPr="00004E57">
              <w:rPr>
                <w:rStyle w:val="Hyperlink"/>
                <w:rFonts w:ascii="Calibri" w:eastAsia="Times New Roman" w:hAnsi="Calibri" w:cs="Times New Roman"/>
                <w:caps/>
                <w:noProof/>
                <w:spacing w:val="15"/>
                <w:lang w:val="en-IE" w:eastAsia="en-US" w:bidi="en-US"/>
              </w:rPr>
              <w:t>4.2.1 Costs of Output drops</w:t>
            </w:r>
            <w:r w:rsidR="00760456">
              <w:rPr>
                <w:noProof/>
                <w:webHidden/>
              </w:rPr>
              <w:tab/>
            </w:r>
            <w:r w:rsidR="00760456">
              <w:rPr>
                <w:noProof/>
                <w:webHidden/>
              </w:rPr>
              <w:fldChar w:fldCharType="begin"/>
            </w:r>
            <w:r w:rsidR="00760456">
              <w:rPr>
                <w:noProof/>
                <w:webHidden/>
              </w:rPr>
              <w:instrText xml:space="preserve"> PAGEREF _Toc489276450 \h </w:instrText>
            </w:r>
            <w:r w:rsidR="00760456">
              <w:rPr>
                <w:noProof/>
                <w:webHidden/>
              </w:rPr>
            </w:r>
            <w:r w:rsidR="00760456">
              <w:rPr>
                <w:noProof/>
                <w:webHidden/>
              </w:rPr>
              <w:fldChar w:fldCharType="separate"/>
            </w:r>
            <w:r w:rsidR="00760456">
              <w:rPr>
                <w:noProof/>
                <w:webHidden/>
              </w:rPr>
              <w:t>11</w:t>
            </w:r>
            <w:r w:rsidR="00760456">
              <w:rPr>
                <w:noProof/>
                <w:webHidden/>
              </w:rPr>
              <w:fldChar w:fldCharType="end"/>
            </w:r>
          </w:hyperlink>
        </w:p>
        <w:p w14:paraId="71A88EB9" w14:textId="77777777" w:rsidR="00760456" w:rsidRDefault="005151F1">
          <w:pPr>
            <w:pStyle w:val="TOC1"/>
            <w:tabs>
              <w:tab w:val="right" w:leader="dot" w:pos="9346"/>
            </w:tabs>
            <w:rPr>
              <w:noProof/>
              <w:lang w:val="en-IE" w:eastAsia="en-IE"/>
            </w:rPr>
          </w:pPr>
          <w:hyperlink w:anchor="_Toc489276451" w:history="1">
            <w:r w:rsidR="00760456" w:rsidRPr="00004E57">
              <w:rPr>
                <w:rStyle w:val="Hyperlink"/>
                <w:rFonts w:ascii="Calibri" w:eastAsia="Times New Roman" w:hAnsi="Calibri" w:cs="Times New Roman"/>
                <w:b/>
                <w:bCs/>
                <w:caps/>
                <w:noProof/>
                <w:spacing w:val="15"/>
                <w:lang w:val="en-IE" w:eastAsia="en-US" w:bidi="en-US"/>
              </w:rPr>
              <w:t>5.0 Rollover of 2017 Rates</w:t>
            </w:r>
            <w:r w:rsidR="00760456">
              <w:rPr>
                <w:noProof/>
                <w:webHidden/>
              </w:rPr>
              <w:tab/>
            </w:r>
            <w:r w:rsidR="00760456">
              <w:rPr>
                <w:noProof/>
                <w:webHidden/>
              </w:rPr>
              <w:fldChar w:fldCharType="begin"/>
            </w:r>
            <w:r w:rsidR="00760456">
              <w:rPr>
                <w:noProof/>
                <w:webHidden/>
              </w:rPr>
              <w:instrText xml:space="preserve"> PAGEREF _Toc489276451 \h </w:instrText>
            </w:r>
            <w:r w:rsidR="00760456">
              <w:rPr>
                <w:noProof/>
                <w:webHidden/>
              </w:rPr>
            </w:r>
            <w:r w:rsidR="00760456">
              <w:rPr>
                <w:noProof/>
                <w:webHidden/>
              </w:rPr>
              <w:fldChar w:fldCharType="separate"/>
            </w:r>
            <w:r w:rsidR="00760456">
              <w:rPr>
                <w:noProof/>
                <w:webHidden/>
              </w:rPr>
              <w:t>11</w:t>
            </w:r>
            <w:r w:rsidR="00760456">
              <w:rPr>
                <w:noProof/>
                <w:webHidden/>
              </w:rPr>
              <w:fldChar w:fldCharType="end"/>
            </w:r>
          </w:hyperlink>
        </w:p>
        <w:p w14:paraId="6A783EC6" w14:textId="77777777" w:rsidR="00760456" w:rsidRDefault="005151F1">
          <w:pPr>
            <w:pStyle w:val="TOC1"/>
            <w:tabs>
              <w:tab w:val="right" w:leader="dot" w:pos="9346"/>
            </w:tabs>
            <w:rPr>
              <w:noProof/>
              <w:lang w:val="en-IE" w:eastAsia="en-IE"/>
            </w:rPr>
          </w:pPr>
          <w:hyperlink w:anchor="_Toc489276452" w:history="1">
            <w:r w:rsidR="00760456" w:rsidRPr="00004E57">
              <w:rPr>
                <w:rStyle w:val="Hyperlink"/>
                <w:rFonts w:ascii="Calibri" w:eastAsia="Times New Roman" w:hAnsi="Calibri" w:cs="Times New Roman"/>
                <w:b/>
                <w:bCs/>
                <w:caps/>
                <w:noProof/>
                <w:spacing w:val="15"/>
                <w:lang w:val="en-IE" w:eastAsia="en-US" w:bidi="en-US"/>
              </w:rPr>
              <w:t>6.0 I-SEM Parameters</w:t>
            </w:r>
            <w:r w:rsidR="00760456">
              <w:rPr>
                <w:noProof/>
                <w:webHidden/>
              </w:rPr>
              <w:tab/>
            </w:r>
            <w:r w:rsidR="00760456">
              <w:rPr>
                <w:noProof/>
                <w:webHidden/>
              </w:rPr>
              <w:fldChar w:fldCharType="begin"/>
            </w:r>
            <w:r w:rsidR="00760456">
              <w:rPr>
                <w:noProof/>
                <w:webHidden/>
              </w:rPr>
              <w:instrText xml:space="preserve"> PAGEREF _Toc489276452 \h </w:instrText>
            </w:r>
            <w:r w:rsidR="00760456">
              <w:rPr>
                <w:noProof/>
                <w:webHidden/>
              </w:rPr>
            </w:r>
            <w:r w:rsidR="00760456">
              <w:rPr>
                <w:noProof/>
                <w:webHidden/>
              </w:rPr>
              <w:fldChar w:fldCharType="separate"/>
            </w:r>
            <w:r w:rsidR="00760456">
              <w:rPr>
                <w:noProof/>
                <w:webHidden/>
              </w:rPr>
              <w:t>11</w:t>
            </w:r>
            <w:r w:rsidR="00760456">
              <w:rPr>
                <w:noProof/>
                <w:webHidden/>
              </w:rPr>
              <w:fldChar w:fldCharType="end"/>
            </w:r>
          </w:hyperlink>
        </w:p>
        <w:p w14:paraId="785DAB0A"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fldChar w:fldCharType="end"/>
          </w:r>
        </w:p>
      </w:sdtContent>
    </w:sdt>
    <w:p w14:paraId="3C778C2E" w14:textId="77777777" w:rsidR="007F5B07" w:rsidRPr="007F5B07" w:rsidRDefault="007F5B07" w:rsidP="007F5B07">
      <w:pPr>
        <w:spacing w:before="200" w:after="200" w:line="276" w:lineRule="auto"/>
        <w:rPr>
          <w:rFonts w:ascii="Cambria" w:eastAsia="Times New Roman" w:hAnsi="Cambria" w:cs="Times New Roman"/>
          <w:b/>
          <w:bCs/>
          <w:caps/>
          <w:lang w:val="en-IE" w:eastAsia="en-US" w:bidi="en-US"/>
        </w:rPr>
      </w:pPr>
      <w:r w:rsidRPr="007F5B07">
        <w:rPr>
          <w:rFonts w:ascii="Calibri" w:eastAsia="Times New Roman" w:hAnsi="Calibri" w:cs="Times New Roman"/>
          <w:sz w:val="20"/>
          <w:szCs w:val="20"/>
          <w:lang w:val="en-IE" w:eastAsia="en-US" w:bidi="en-US"/>
        </w:rPr>
        <w:br w:type="page"/>
      </w:r>
    </w:p>
    <w:p w14:paraId="5149899E" w14:textId="77777777" w:rsidR="007F5B07" w:rsidRPr="007F5B07" w:rsidRDefault="007F5B07"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rPr>
          <w:rFonts w:ascii="Calibri" w:eastAsia="Times New Roman" w:hAnsi="Calibri" w:cs="Times New Roman"/>
          <w:b/>
          <w:bCs/>
          <w:caps/>
          <w:color w:val="FFFFFF"/>
          <w:spacing w:val="15"/>
          <w:sz w:val="22"/>
          <w:szCs w:val="22"/>
          <w:lang w:val="en-IE" w:eastAsia="en-US" w:bidi="en-US"/>
        </w:rPr>
      </w:pPr>
      <w:bookmarkStart w:id="3" w:name="_Toc285028563"/>
      <w:bookmarkStart w:id="4" w:name="_Toc489276434"/>
      <w:r w:rsidRPr="007F5B07">
        <w:rPr>
          <w:rFonts w:ascii="Calibri" w:eastAsia="Times New Roman" w:hAnsi="Calibri" w:cs="Times New Roman"/>
          <w:b/>
          <w:bCs/>
          <w:caps/>
          <w:color w:val="FFFFFF"/>
          <w:spacing w:val="15"/>
          <w:sz w:val="22"/>
          <w:szCs w:val="22"/>
          <w:lang w:val="en-IE" w:eastAsia="en-US" w:bidi="en-US"/>
        </w:rPr>
        <w:lastRenderedPageBreak/>
        <w:t>1.0 Introduction</w:t>
      </w:r>
      <w:bookmarkEnd w:id="3"/>
      <w:bookmarkEnd w:id="4"/>
    </w:p>
    <w:p w14:paraId="0D314220" w14:textId="27F236ED"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Testing tariffs are applied to all generator units that may be granted Under Test status in SEM.  Paragraph 5.175 of the Single Electricity Market (SEM) Trading</w:t>
      </w:r>
      <w:r w:rsidR="00387B29">
        <w:rPr>
          <w:rFonts w:ascii="Calibri" w:eastAsia="Times New Roman" w:hAnsi="Calibri" w:cs="Times New Roman"/>
          <w:sz w:val="20"/>
          <w:szCs w:val="20"/>
          <w:lang w:val="en-IE" w:eastAsia="en-US" w:bidi="en-US"/>
        </w:rPr>
        <w:t xml:space="preserve"> and Settlement Code (version 18</w:t>
      </w:r>
      <w:r w:rsidRPr="007F5B07">
        <w:rPr>
          <w:rFonts w:ascii="Calibri" w:eastAsia="Times New Roman" w:hAnsi="Calibri" w:cs="Times New Roman"/>
          <w:sz w:val="20"/>
          <w:szCs w:val="20"/>
          <w:lang w:val="en-IE" w:eastAsia="en-US" w:bidi="en-US"/>
        </w:rPr>
        <w:t>.0) requires the System Operators to make a report to the Regulatory Authorities at least 4 months before the start of the Year</w:t>
      </w:r>
      <w:r w:rsidRPr="007F5B07">
        <w:rPr>
          <w:rFonts w:ascii="Calibri" w:eastAsia="Times New Roman" w:hAnsi="Calibri" w:cs="Calibri"/>
          <w:bCs/>
          <w:sz w:val="20"/>
          <w:szCs w:val="20"/>
          <w:vertAlign w:val="superscript"/>
          <w:lang w:val="en-IE" w:eastAsia="en-US" w:bidi="en-US"/>
        </w:rPr>
        <w:footnoteReference w:id="1"/>
      </w:r>
      <w:r w:rsidRPr="007F5B07">
        <w:rPr>
          <w:rFonts w:ascii="Calibri" w:eastAsia="Times New Roman" w:hAnsi="Calibri" w:cs="Times New Roman"/>
          <w:sz w:val="20"/>
          <w:szCs w:val="20"/>
          <w:lang w:val="en-IE" w:eastAsia="en-US" w:bidi="en-US"/>
        </w:rPr>
        <w:t xml:space="preserve"> proposing values for the testing tariffs Year.</w:t>
      </w:r>
    </w:p>
    <w:p w14:paraId="35C2834B" w14:textId="23CE83E8"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The SEM Testing Tariffs </w:t>
      </w:r>
      <w:r w:rsidR="007949E5">
        <w:rPr>
          <w:rFonts w:ascii="Calibri" w:eastAsia="Times New Roman" w:hAnsi="Calibri" w:cs="Times New Roman"/>
          <w:sz w:val="20"/>
          <w:szCs w:val="20"/>
          <w:lang w:val="en-IE" w:eastAsia="en-US" w:bidi="en-US"/>
        </w:rPr>
        <w:t>Recommendations</w:t>
      </w:r>
      <w:r w:rsidRPr="007F5B07">
        <w:rPr>
          <w:rFonts w:ascii="Calibri" w:eastAsia="Times New Roman" w:hAnsi="Calibri" w:cs="Times New Roman"/>
          <w:sz w:val="20"/>
          <w:szCs w:val="20"/>
          <w:lang w:val="en-IE" w:eastAsia="en-US" w:bidi="en-US"/>
        </w:rPr>
        <w:t xml:space="preserve"> Paper</w:t>
      </w:r>
      <w:r w:rsidRPr="007F5B07">
        <w:rPr>
          <w:rFonts w:ascii="Calibri" w:eastAsia="Times New Roman" w:hAnsi="Calibri" w:cs="Times New Roman"/>
          <w:sz w:val="20"/>
          <w:szCs w:val="20"/>
          <w:vertAlign w:val="superscript"/>
          <w:lang w:val="en-IE" w:eastAsia="en-US" w:bidi="en-US"/>
        </w:rPr>
        <w:footnoteReference w:id="2"/>
      </w:r>
      <w:r w:rsidRPr="007F5B07">
        <w:rPr>
          <w:rFonts w:ascii="Calibri" w:eastAsia="Times New Roman" w:hAnsi="Calibri" w:cs="Times New Roman"/>
          <w:sz w:val="20"/>
          <w:szCs w:val="20"/>
          <w:lang w:val="en-IE" w:eastAsia="en-US" w:bidi="en-US"/>
        </w:rPr>
        <w:t>, published in</w:t>
      </w:r>
      <w:r w:rsidR="007949E5">
        <w:rPr>
          <w:rFonts w:ascii="Calibri" w:eastAsia="Times New Roman" w:hAnsi="Calibri" w:cs="Times New Roman"/>
          <w:sz w:val="20"/>
          <w:szCs w:val="20"/>
          <w:lang w:val="en-IE" w:eastAsia="en-US" w:bidi="en-US"/>
        </w:rPr>
        <w:t xml:space="preserve"> November</w:t>
      </w:r>
      <w:r w:rsidRPr="007F5B07">
        <w:rPr>
          <w:rFonts w:ascii="Calibri" w:eastAsia="Times New Roman" w:hAnsi="Calibri" w:cs="Times New Roman"/>
          <w:sz w:val="20"/>
          <w:szCs w:val="20"/>
          <w:lang w:val="en-IE" w:eastAsia="en-US" w:bidi="en-US"/>
        </w:rPr>
        <w:t xml:space="preserve"> 2011, set out the proposal for the application of two testing tariffs to Generator Unit under Test (GUUT) dependent upon the type of test being carried out and the risk to system security. The paper reviewed the methodology and background for the costs arising from GUUT when there is an increase in in system reserve requirement (high risk) and no increase in system reserve requirement (lower risk). The two types of tariffs considered in the paper were Tariff A and Tariff B. </w:t>
      </w:r>
    </w:p>
    <w:p w14:paraId="02339A88"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Tariff A is applicable when new units are being commissioned on to the power system for the first time and when existing units require testing when returning from outages. In these cases the generator will carry out a range of tests to demonstrate Grid Code compliance to the System Operator. The impact of the GUUT is an increase in the costs associated with maintaining system security. </w:t>
      </w:r>
    </w:p>
    <w:p w14:paraId="10BC156C"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Tariff B covers the costs of when a unit is in the latter stages of commissioning or undergoing general testing. In this case the unit is deemed to be reasonably reliable and normal reserve requirements apply</w:t>
      </w:r>
      <w:r w:rsidRPr="007F5B07">
        <w:rPr>
          <w:rFonts w:ascii="Calibri" w:eastAsia="Times New Roman" w:hAnsi="Calibri" w:cs="Times New Roman"/>
          <w:sz w:val="20"/>
          <w:szCs w:val="20"/>
          <w:vertAlign w:val="superscript"/>
          <w:lang w:val="en-IE" w:eastAsia="en-US" w:bidi="en-US"/>
        </w:rPr>
        <w:footnoteReference w:id="3"/>
      </w:r>
      <w:r w:rsidRPr="007F5B07">
        <w:rPr>
          <w:rFonts w:ascii="Calibri" w:eastAsia="Times New Roman" w:hAnsi="Calibri" w:cs="Times New Roman"/>
          <w:sz w:val="20"/>
          <w:szCs w:val="20"/>
          <w:lang w:val="en-IE" w:eastAsia="en-US" w:bidi="en-US"/>
        </w:rPr>
        <w:t xml:space="preserve">.  </w:t>
      </w:r>
    </w:p>
    <w:p w14:paraId="1A8E84B0" w14:textId="40A783AE"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This document is the System Operators’ joint submission under </w:t>
      </w:r>
      <w:r w:rsidR="006229FB">
        <w:rPr>
          <w:rFonts w:ascii="Calibri" w:eastAsia="Times New Roman" w:hAnsi="Calibri" w:cs="Times New Roman"/>
          <w:sz w:val="20"/>
          <w:szCs w:val="20"/>
          <w:lang w:val="en-IE" w:eastAsia="en-US" w:bidi="en-US"/>
        </w:rPr>
        <w:t>Paragraph 5.175 proposing no change in th</w:t>
      </w:r>
      <w:r w:rsidR="00F16B7C">
        <w:rPr>
          <w:rFonts w:ascii="Calibri" w:eastAsia="Times New Roman" w:hAnsi="Calibri" w:cs="Times New Roman"/>
          <w:sz w:val="20"/>
          <w:szCs w:val="20"/>
          <w:lang w:val="en-IE" w:eastAsia="en-US" w:bidi="en-US"/>
        </w:rPr>
        <w:t xml:space="preserve">e testing tariff rates for 2018 </w:t>
      </w:r>
      <w:r w:rsidR="006229FB">
        <w:rPr>
          <w:rFonts w:ascii="Calibri" w:eastAsia="Times New Roman" w:hAnsi="Calibri" w:cs="Times New Roman"/>
          <w:sz w:val="20"/>
          <w:szCs w:val="20"/>
          <w:lang w:val="en-IE" w:eastAsia="en-US" w:bidi="en-US"/>
        </w:rPr>
        <w:t xml:space="preserve">from 2017 </w:t>
      </w:r>
      <w:r w:rsidR="00F16B7C">
        <w:rPr>
          <w:rFonts w:ascii="Calibri" w:eastAsia="Times New Roman" w:hAnsi="Calibri" w:cs="Times New Roman"/>
          <w:sz w:val="20"/>
          <w:szCs w:val="20"/>
          <w:lang w:val="en-IE" w:eastAsia="en-US" w:bidi="en-US"/>
        </w:rPr>
        <w:t>rates up until I-SEM go live.</w:t>
      </w:r>
    </w:p>
    <w:p w14:paraId="6885241C"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 </w:t>
      </w:r>
    </w:p>
    <w:p w14:paraId="56C72DA6" w14:textId="7E584707" w:rsidR="00893DD1" w:rsidRDefault="00893DD1">
      <w:pPr>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br w:type="page"/>
      </w:r>
    </w:p>
    <w:p w14:paraId="7A841776" w14:textId="6B0A323C" w:rsidR="00893DD1" w:rsidRPr="007F5B07" w:rsidRDefault="00893DD1" w:rsidP="00893DD1">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rPr>
          <w:rFonts w:ascii="Calibri" w:eastAsia="Times New Roman" w:hAnsi="Calibri" w:cs="Times New Roman"/>
          <w:b/>
          <w:bCs/>
          <w:caps/>
          <w:color w:val="FFFFFF"/>
          <w:spacing w:val="15"/>
          <w:sz w:val="22"/>
          <w:szCs w:val="22"/>
          <w:lang w:val="en-IE" w:eastAsia="en-US" w:bidi="en-US"/>
        </w:rPr>
      </w:pPr>
      <w:bookmarkStart w:id="5" w:name="_Toc489276435"/>
      <w:r>
        <w:rPr>
          <w:rFonts w:ascii="Calibri" w:eastAsia="Times New Roman" w:hAnsi="Calibri" w:cs="Times New Roman"/>
          <w:b/>
          <w:bCs/>
          <w:caps/>
          <w:color w:val="FFFFFF"/>
          <w:spacing w:val="15"/>
          <w:sz w:val="22"/>
          <w:szCs w:val="22"/>
          <w:lang w:val="en-IE" w:eastAsia="en-US" w:bidi="en-US"/>
        </w:rPr>
        <w:lastRenderedPageBreak/>
        <w:t>2</w:t>
      </w:r>
      <w:r w:rsidRPr="007F5B07">
        <w:rPr>
          <w:rFonts w:ascii="Calibri" w:eastAsia="Times New Roman" w:hAnsi="Calibri" w:cs="Times New Roman"/>
          <w:b/>
          <w:bCs/>
          <w:caps/>
          <w:color w:val="FFFFFF"/>
          <w:spacing w:val="15"/>
          <w:sz w:val="22"/>
          <w:szCs w:val="22"/>
          <w:lang w:val="en-IE" w:eastAsia="en-US" w:bidi="en-US"/>
        </w:rPr>
        <w:t xml:space="preserve">.0 </w:t>
      </w:r>
      <w:r>
        <w:rPr>
          <w:rFonts w:ascii="Calibri" w:eastAsia="Times New Roman" w:hAnsi="Calibri" w:cs="Times New Roman"/>
          <w:b/>
          <w:bCs/>
          <w:caps/>
          <w:color w:val="FFFFFF"/>
          <w:spacing w:val="15"/>
          <w:sz w:val="22"/>
          <w:szCs w:val="22"/>
          <w:lang w:val="en-IE" w:eastAsia="en-US" w:bidi="en-US"/>
        </w:rPr>
        <w:t>Request for comments</w:t>
      </w:r>
      <w:bookmarkEnd w:id="5"/>
    </w:p>
    <w:p w14:paraId="4C8C7363" w14:textId="348F3797" w:rsidR="00893DD1" w:rsidRPr="00893DD1" w:rsidRDefault="00893DD1" w:rsidP="00893DD1">
      <w:pPr>
        <w:spacing w:before="200" w:after="200" w:line="276" w:lineRule="auto"/>
        <w:rPr>
          <w:rFonts w:ascii="Calibri" w:eastAsia="Times New Roman" w:hAnsi="Calibri" w:cs="Times New Roman"/>
          <w:sz w:val="20"/>
          <w:szCs w:val="20"/>
          <w:lang w:val="en-IE" w:eastAsia="en-US" w:bidi="en-US"/>
        </w:rPr>
      </w:pPr>
      <w:r w:rsidRPr="00893DD1">
        <w:rPr>
          <w:rFonts w:ascii="Calibri" w:eastAsia="Times New Roman" w:hAnsi="Calibri" w:cs="Times New Roman"/>
          <w:sz w:val="20"/>
          <w:szCs w:val="20"/>
          <w:lang w:val="en-IE" w:eastAsia="en-US" w:bidi="en-US"/>
        </w:rPr>
        <w:t>Comments are invited from interested parties on this consultation paper and should be aligned with the sections and sub</w:t>
      </w:r>
      <w:r w:rsidRPr="00893DD1">
        <w:rPr>
          <w:rFonts w:ascii="Calibri" w:eastAsia="Times New Roman" w:hAnsi="Calibri" w:cs="Times New Roman"/>
          <w:sz w:val="20"/>
          <w:szCs w:val="20"/>
          <w:lang w:val="en-IE" w:eastAsia="en-US" w:bidi="en-US"/>
        </w:rPr>
        <w:noBreakHyphen/>
        <w:t xml:space="preserve">sections of this document.  This consultation relates to </w:t>
      </w:r>
      <w:r>
        <w:rPr>
          <w:rFonts w:ascii="Calibri" w:eastAsia="Times New Roman" w:hAnsi="Calibri" w:cs="Times New Roman"/>
          <w:sz w:val="20"/>
          <w:szCs w:val="20"/>
          <w:lang w:val="en-IE" w:eastAsia="en-US" w:bidi="en-US"/>
        </w:rPr>
        <w:t>the rollover of 2017 Testing Tariff Rates into the SEM portion of 2018.</w:t>
      </w:r>
      <w:r w:rsidRPr="00893DD1">
        <w:rPr>
          <w:rFonts w:ascii="Calibri" w:eastAsia="Times New Roman" w:hAnsi="Calibri" w:cs="Times New Roman"/>
          <w:sz w:val="20"/>
          <w:szCs w:val="20"/>
          <w:lang w:val="en-IE" w:eastAsia="en-US" w:bidi="en-US"/>
        </w:rPr>
        <w:t xml:space="preserve"> Comments should be submitted by email to </w:t>
      </w:r>
      <w:hyperlink r:id="rId15" w:history="1">
        <w:r w:rsidRPr="00893DD1">
          <w:rPr>
            <w:rStyle w:val="Hyperlink"/>
            <w:rFonts w:ascii="Calibri" w:eastAsia="Times New Roman" w:hAnsi="Calibri" w:cs="Times New Roman"/>
            <w:sz w:val="20"/>
            <w:szCs w:val="20"/>
            <w:lang w:val="en-IE" w:eastAsia="en-US" w:bidi="en-US"/>
          </w:rPr>
          <w:t>tariffs@eirgrid.com</w:t>
        </w:r>
      </w:hyperlink>
      <w:r w:rsidRPr="00893DD1">
        <w:rPr>
          <w:rFonts w:ascii="Calibri" w:eastAsia="Times New Roman" w:hAnsi="Calibri" w:cs="Times New Roman"/>
          <w:sz w:val="20"/>
          <w:szCs w:val="20"/>
          <w:lang w:val="en-IE" w:eastAsia="en-US" w:bidi="en-US"/>
        </w:rPr>
        <w:t xml:space="preserve"> or </w:t>
      </w:r>
      <w:hyperlink r:id="rId16" w:history="1">
        <w:r w:rsidRPr="00893DD1">
          <w:rPr>
            <w:rStyle w:val="Hyperlink"/>
            <w:rFonts w:ascii="Calibri" w:eastAsia="Times New Roman" w:hAnsi="Calibri" w:cs="Times New Roman"/>
            <w:sz w:val="20"/>
            <w:szCs w:val="20"/>
            <w:lang w:val="en-IE" w:eastAsia="en-US" w:bidi="en-US"/>
          </w:rPr>
          <w:t>tariffs@soni.ltd.uk</w:t>
        </w:r>
      </w:hyperlink>
      <w:r w:rsidRPr="00893DD1">
        <w:rPr>
          <w:rFonts w:ascii="Calibri" w:eastAsia="Times New Roman" w:hAnsi="Calibri" w:cs="Times New Roman"/>
          <w:sz w:val="20"/>
          <w:szCs w:val="20"/>
          <w:lang w:val="en-IE" w:eastAsia="en-US" w:bidi="en-US"/>
        </w:rPr>
        <w:t>. If confidentiality is required, this should be made explicit in the response as the comments will be published on our websites</w:t>
      </w:r>
      <w:r w:rsidRPr="00893DD1">
        <w:rPr>
          <w:rFonts w:ascii="Calibri" w:eastAsia="Times New Roman" w:hAnsi="Calibri" w:cs="Times New Roman"/>
          <w:sz w:val="20"/>
          <w:szCs w:val="20"/>
          <w:vertAlign w:val="superscript"/>
          <w:lang w:val="en-IE" w:eastAsia="en-US" w:bidi="en-US"/>
        </w:rPr>
        <w:footnoteReference w:id="4"/>
      </w:r>
      <w:r w:rsidRPr="00893DD1">
        <w:rPr>
          <w:rFonts w:ascii="Calibri" w:eastAsia="Times New Roman" w:hAnsi="Calibri" w:cs="Times New Roman"/>
          <w:sz w:val="20"/>
          <w:szCs w:val="20"/>
          <w:lang w:val="en-IE" w:eastAsia="en-US" w:bidi="en-US"/>
        </w:rPr>
        <w:t xml:space="preserve">.  Please note that, in any event, all responses will be provided to the RAs.  </w:t>
      </w:r>
    </w:p>
    <w:p w14:paraId="43338B1C" w14:textId="787A1D50" w:rsidR="00893DD1" w:rsidRPr="00893DD1" w:rsidRDefault="00893DD1" w:rsidP="00893DD1">
      <w:pPr>
        <w:spacing w:before="200" w:after="200" w:line="276" w:lineRule="auto"/>
        <w:rPr>
          <w:rFonts w:ascii="Calibri" w:eastAsia="Times New Roman" w:hAnsi="Calibri" w:cs="Times New Roman"/>
          <w:b/>
          <w:sz w:val="20"/>
          <w:szCs w:val="20"/>
          <w:lang w:val="en-IE" w:eastAsia="en-US" w:bidi="en-US"/>
        </w:rPr>
      </w:pPr>
      <w:r w:rsidRPr="00893DD1">
        <w:rPr>
          <w:rFonts w:ascii="Calibri" w:eastAsia="Times New Roman" w:hAnsi="Calibri" w:cs="Times New Roman"/>
          <w:b/>
          <w:sz w:val="20"/>
          <w:szCs w:val="20"/>
          <w:lang w:val="en-IE" w:eastAsia="en-US" w:bidi="en-US"/>
        </w:rPr>
        <w:t xml:space="preserve">The closing date for responses is 5pm on </w:t>
      </w:r>
      <w:r w:rsidR="00E2130F">
        <w:rPr>
          <w:rFonts w:ascii="Calibri" w:eastAsia="Times New Roman" w:hAnsi="Calibri" w:cs="Times New Roman"/>
          <w:b/>
          <w:sz w:val="20"/>
          <w:szCs w:val="20"/>
          <w:lang w:val="en-IE" w:eastAsia="en-US" w:bidi="en-US"/>
        </w:rPr>
        <w:t>Wednesday,</w:t>
      </w:r>
      <w:r w:rsidRPr="00893DD1">
        <w:rPr>
          <w:rFonts w:ascii="Calibri" w:eastAsia="Times New Roman" w:hAnsi="Calibri" w:cs="Times New Roman"/>
          <w:b/>
          <w:sz w:val="20"/>
          <w:szCs w:val="20"/>
          <w:lang w:val="en-IE" w:eastAsia="en-US" w:bidi="en-US"/>
        </w:rPr>
        <w:t xml:space="preserve"> </w:t>
      </w:r>
      <w:r w:rsidR="00E2130F">
        <w:rPr>
          <w:rFonts w:ascii="Calibri" w:eastAsia="Times New Roman" w:hAnsi="Calibri" w:cs="Times New Roman"/>
          <w:b/>
          <w:sz w:val="20"/>
          <w:szCs w:val="20"/>
          <w:lang w:val="en-IE" w:eastAsia="en-US" w:bidi="en-US"/>
        </w:rPr>
        <w:t>6</w:t>
      </w:r>
      <w:r w:rsidR="00E2130F" w:rsidRPr="00E2130F">
        <w:rPr>
          <w:rFonts w:ascii="Calibri" w:eastAsia="Times New Roman" w:hAnsi="Calibri" w:cs="Times New Roman"/>
          <w:b/>
          <w:sz w:val="20"/>
          <w:szCs w:val="20"/>
          <w:vertAlign w:val="superscript"/>
          <w:lang w:val="en-IE" w:eastAsia="en-US" w:bidi="en-US"/>
        </w:rPr>
        <w:t>th</w:t>
      </w:r>
      <w:r w:rsidR="00E2130F">
        <w:rPr>
          <w:rFonts w:ascii="Calibri" w:eastAsia="Times New Roman" w:hAnsi="Calibri" w:cs="Times New Roman"/>
          <w:b/>
          <w:sz w:val="20"/>
          <w:szCs w:val="20"/>
          <w:lang w:val="en-IE" w:eastAsia="en-US" w:bidi="en-US"/>
        </w:rPr>
        <w:t xml:space="preserve"> September</w:t>
      </w:r>
      <w:r>
        <w:rPr>
          <w:rFonts w:ascii="Calibri" w:eastAsia="Times New Roman" w:hAnsi="Calibri" w:cs="Times New Roman"/>
          <w:b/>
          <w:sz w:val="20"/>
          <w:szCs w:val="20"/>
          <w:lang w:val="en-IE" w:eastAsia="en-US" w:bidi="en-US"/>
        </w:rPr>
        <w:t xml:space="preserve"> 2017</w:t>
      </w:r>
      <w:r w:rsidRPr="00893DD1">
        <w:rPr>
          <w:rFonts w:ascii="Calibri" w:eastAsia="Times New Roman" w:hAnsi="Calibri" w:cs="Times New Roman"/>
          <w:b/>
          <w:sz w:val="20"/>
          <w:szCs w:val="20"/>
          <w:lang w:val="en-IE" w:eastAsia="en-US" w:bidi="en-US"/>
        </w:rPr>
        <w:t>.</w:t>
      </w:r>
    </w:p>
    <w:p w14:paraId="2B6C8B76" w14:textId="77777777" w:rsidR="00893DD1" w:rsidRPr="00893DD1" w:rsidRDefault="00893DD1" w:rsidP="00893DD1">
      <w:pPr>
        <w:spacing w:before="200" w:after="200" w:line="276" w:lineRule="auto"/>
        <w:rPr>
          <w:rFonts w:ascii="Calibri" w:eastAsia="Times New Roman" w:hAnsi="Calibri" w:cs="Times New Roman"/>
          <w:sz w:val="20"/>
          <w:szCs w:val="20"/>
          <w:lang w:val="en-IE" w:eastAsia="en-US" w:bidi="en-US"/>
        </w:rPr>
      </w:pPr>
      <w:r w:rsidRPr="00893DD1">
        <w:rPr>
          <w:rFonts w:ascii="Calibri" w:eastAsia="Times New Roman" w:hAnsi="Calibri" w:cs="Times New Roman"/>
          <w:sz w:val="20"/>
          <w:szCs w:val="20"/>
          <w:lang w:val="en-IE" w:eastAsia="en-US" w:bidi="en-US"/>
        </w:rPr>
        <w:t>The steps following the closing date are as follows:</w:t>
      </w:r>
    </w:p>
    <w:p w14:paraId="7E2F02FB" w14:textId="77777777" w:rsidR="00893DD1" w:rsidRPr="00893DD1" w:rsidRDefault="00893DD1" w:rsidP="00893DD1">
      <w:pPr>
        <w:numPr>
          <w:ilvl w:val="0"/>
          <w:numId w:val="33"/>
        </w:numPr>
        <w:spacing w:before="200" w:after="200" w:line="276" w:lineRule="auto"/>
        <w:rPr>
          <w:rFonts w:ascii="Calibri" w:eastAsia="Times New Roman" w:hAnsi="Calibri" w:cs="Times New Roman"/>
          <w:sz w:val="20"/>
          <w:szCs w:val="20"/>
          <w:lang w:val="en-IE" w:eastAsia="en-US" w:bidi="en-US"/>
        </w:rPr>
      </w:pPr>
      <w:r w:rsidRPr="00893DD1">
        <w:rPr>
          <w:rFonts w:ascii="Calibri" w:eastAsia="Times New Roman" w:hAnsi="Calibri" w:cs="Times New Roman"/>
          <w:sz w:val="20"/>
          <w:szCs w:val="20"/>
          <w:lang w:val="en-IE" w:eastAsia="en-US" w:bidi="en-US"/>
        </w:rPr>
        <w:t xml:space="preserve">The TSOs will consider the comments received on the consultation paper and make recommendations to the RAs based on these; </w:t>
      </w:r>
    </w:p>
    <w:p w14:paraId="6C926492" w14:textId="77777777" w:rsidR="00893DD1" w:rsidRPr="00893DD1" w:rsidRDefault="00893DD1" w:rsidP="00893DD1">
      <w:pPr>
        <w:numPr>
          <w:ilvl w:val="0"/>
          <w:numId w:val="32"/>
        </w:numPr>
        <w:spacing w:before="200" w:after="200" w:line="276" w:lineRule="auto"/>
        <w:rPr>
          <w:rFonts w:ascii="Calibri" w:eastAsia="Times New Roman" w:hAnsi="Calibri" w:cs="Times New Roman"/>
          <w:sz w:val="20"/>
          <w:szCs w:val="20"/>
          <w:lang w:val="en-IE" w:eastAsia="en-US" w:bidi="en-US"/>
        </w:rPr>
      </w:pPr>
      <w:r w:rsidRPr="00893DD1">
        <w:rPr>
          <w:rFonts w:ascii="Calibri" w:eastAsia="Times New Roman" w:hAnsi="Calibri" w:cs="Times New Roman"/>
          <w:sz w:val="20"/>
          <w:szCs w:val="20"/>
          <w:lang w:val="en-IE" w:eastAsia="en-US" w:bidi="en-US"/>
        </w:rPr>
        <w:t xml:space="preserve">The RAs will approve/reject the recommendations proposed in light of the responses received; and </w:t>
      </w:r>
    </w:p>
    <w:p w14:paraId="47292BF3" w14:textId="77777777" w:rsidR="00893DD1" w:rsidRPr="00893DD1" w:rsidRDefault="00893DD1" w:rsidP="00893DD1">
      <w:pPr>
        <w:numPr>
          <w:ilvl w:val="0"/>
          <w:numId w:val="32"/>
        </w:numPr>
        <w:spacing w:before="200" w:after="200" w:line="276" w:lineRule="auto"/>
        <w:rPr>
          <w:rFonts w:ascii="Calibri" w:eastAsia="Times New Roman" w:hAnsi="Calibri" w:cs="Times New Roman"/>
          <w:sz w:val="20"/>
          <w:szCs w:val="20"/>
          <w:lang w:val="en-IE" w:eastAsia="en-US" w:bidi="en-US"/>
        </w:rPr>
      </w:pPr>
      <w:r w:rsidRPr="00893DD1">
        <w:rPr>
          <w:rFonts w:ascii="Calibri" w:eastAsia="Times New Roman" w:hAnsi="Calibri" w:cs="Times New Roman"/>
          <w:sz w:val="20"/>
          <w:szCs w:val="20"/>
          <w:lang w:val="en-IE" w:eastAsia="en-US" w:bidi="en-US"/>
        </w:rPr>
        <w:t>The TSOs will implement any changes and tariffs in accordance with the RAs decision paper.</w:t>
      </w:r>
    </w:p>
    <w:p w14:paraId="1529A53D" w14:textId="7B7D8112" w:rsidR="00893DD1" w:rsidRPr="007F5B07" w:rsidRDefault="00893DD1" w:rsidP="00893DD1">
      <w:pPr>
        <w:spacing w:before="200" w:after="200" w:line="276" w:lineRule="auto"/>
        <w:rPr>
          <w:rFonts w:ascii="Calibri" w:eastAsia="Times New Roman" w:hAnsi="Calibri" w:cs="Times New Roman"/>
          <w:sz w:val="20"/>
          <w:szCs w:val="20"/>
          <w:lang w:val="en-IE" w:eastAsia="en-US" w:bidi="en-US"/>
        </w:rPr>
      </w:pPr>
    </w:p>
    <w:p w14:paraId="1BA9D8F2"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p>
    <w:p w14:paraId="322F0D3A" w14:textId="77777777" w:rsidR="007F5B07" w:rsidRPr="007F5B07" w:rsidRDefault="007F5B07" w:rsidP="007F5B07">
      <w:pPr>
        <w:spacing w:before="200" w:after="200" w:line="276" w:lineRule="auto"/>
        <w:rPr>
          <w:rFonts w:ascii="Calibri" w:eastAsia="Times New Roman" w:hAnsi="Calibri" w:cs="Times New Roman"/>
          <w:b/>
          <w:bCs/>
          <w:caps/>
          <w:color w:val="FFFFFF"/>
          <w:spacing w:val="15"/>
          <w:sz w:val="22"/>
          <w:szCs w:val="22"/>
          <w:lang w:val="en-IE" w:eastAsia="en-US" w:bidi="en-US"/>
        </w:rPr>
      </w:pPr>
      <w:bookmarkStart w:id="6" w:name="_Toc285028564"/>
      <w:r w:rsidRPr="007F5B07">
        <w:rPr>
          <w:rFonts w:ascii="Calibri" w:eastAsia="Times New Roman" w:hAnsi="Calibri" w:cs="Times New Roman"/>
          <w:sz w:val="20"/>
          <w:szCs w:val="20"/>
          <w:lang w:val="en-IE" w:eastAsia="en-US" w:bidi="en-US"/>
        </w:rPr>
        <w:br w:type="page"/>
      </w:r>
    </w:p>
    <w:p w14:paraId="521B2E54" w14:textId="2F23159A" w:rsidR="007F5B07" w:rsidRPr="007F5B07" w:rsidRDefault="00893DD1"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rPr>
          <w:rFonts w:ascii="Calibri" w:eastAsia="Times New Roman" w:hAnsi="Calibri" w:cs="Times New Roman"/>
          <w:b/>
          <w:bCs/>
          <w:caps/>
          <w:color w:val="FFFFFF"/>
          <w:spacing w:val="15"/>
          <w:sz w:val="22"/>
          <w:szCs w:val="22"/>
          <w:lang w:val="en-IE" w:eastAsia="en-US" w:bidi="en-US"/>
        </w:rPr>
      </w:pPr>
      <w:bookmarkStart w:id="7" w:name="_Toc489276436"/>
      <w:r>
        <w:rPr>
          <w:rFonts w:ascii="Calibri" w:eastAsia="Times New Roman" w:hAnsi="Calibri" w:cs="Times New Roman"/>
          <w:b/>
          <w:bCs/>
          <w:caps/>
          <w:color w:val="FFFFFF"/>
          <w:spacing w:val="15"/>
          <w:sz w:val="22"/>
          <w:szCs w:val="22"/>
          <w:lang w:val="en-IE" w:eastAsia="en-US" w:bidi="en-US"/>
        </w:rPr>
        <w:lastRenderedPageBreak/>
        <w:t>3</w:t>
      </w:r>
      <w:r w:rsidR="007F5B07" w:rsidRPr="007F5B07">
        <w:rPr>
          <w:rFonts w:ascii="Calibri" w:eastAsia="Times New Roman" w:hAnsi="Calibri" w:cs="Times New Roman"/>
          <w:b/>
          <w:bCs/>
          <w:caps/>
          <w:color w:val="FFFFFF"/>
          <w:spacing w:val="15"/>
          <w:sz w:val="22"/>
          <w:szCs w:val="22"/>
          <w:lang w:val="en-IE" w:eastAsia="en-US" w:bidi="en-US"/>
        </w:rPr>
        <w:t>.0 Generator Testing</w:t>
      </w:r>
      <w:bookmarkEnd w:id="7"/>
      <w:r w:rsidR="007F5B07" w:rsidRPr="007F5B07">
        <w:rPr>
          <w:rFonts w:ascii="Calibri" w:eastAsia="Times New Roman" w:hAnsi="Calibri" w:cs="Times New Roman"/>
          <w:b/>
          <w:bCs/>
          <w:caps/>
          <w:color w:val="FFFFFF"/>
          <w:spacing w:val="15"/>
          <w:sz w:val="22"/>
          <w:szCs w:val="22"/>
          <w:lang w:val="en-IE" w:eastAsia="en-US" w:bidi="en-US"/>
        </w:rPr>
        <w:t xml:space="preserve"> </w:t>
      </w:r>
      <w:bookmarkEnd w:id="6"/>
    </w:p>
    <w:p w14:paraId="3D5EDACF" w14:textId="262B77DA" w:rsidR="003D6CCF" w:rsidRPr="007F5B07" w:rsidRDefault="00893DD1" w:rsidP="003D6CC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IE" w:eastAsia="en-US" w:bidi="en-US"/>
        </w:rPr>
      </w:pPr>
      <w:bookmarkStart w:id="8" w:name="_Toc489276437"/>
      <w:r>
        <w:rPr>
          <w:rFonts w:ascii="Calibri" w:eastAsia="Times New Roman" w:hAnsi="Calibri" w:cs="Times New Roman"/>
          <w:caps/>
          <w:spacing w:val="15"/>
          <w:sz w:val="22"/>
          <w:szCs w:val="22"/>
          <w:lang w:val="en-IE" w:eastAsia="en-US" w:bidi="en-US"/>
        </w:rPr>
        <w:t>3</w:t>
      </w:r>
      <w:r w:rsidR="003D6CCF" w:rsidRPr="007F5B07">
        <w:rPr>
          <w:rFonts w:ascii="Calibri" w:eastAsia="Times New Roman" w:hAnsi="Calibri" w:cs="Times New Roman"/>
          <w:caps/>
          <w:spacing w:val="15"/>
          <w:sz w:val="22"/>
          <w:szCs w:val="22"/>
          <w:lang w:val="en-IE" w:eastAsia="en-US" w:bidi="en-US"/>
        </w:rPr>
        <w:t xml:space="preserve">.1 </w:t>
      </w:r>
      <w:r w:rsidR="003D6CCF">
        <w:rPr>
          <w:rFonts w:ascii="Calibri" w:eastAsia="Times New Roman" w:hAnsi="Calibri" w:cs="Times New Roman"/>
          <w:caps/>
          <w:spacing w:val="15"/>
          <w:sz w:val="22"/>
          <w:szCs w:val="22"/>
          <w:lang w:val="en-IE" w:eastAsia="en-US" w:bidi="en-US"/>
        </w:rPr>
        <w:t>Purpose of Generator Testing</w:t>
      </w:r>
      <w:bookmarkEnd w:id="8"/>
    </w:p>
    <w:p w14:paraId="77CD388F" w14:textId="2E088035" w:rsidR="007F5B07" w:rsidRPr="007F5B07" w:rsidRDefault="007F5B07" w:rsidP="003D6CCF">
      <w:pPr>
        <w:autoSpaceDE w:val="0"/>
        <w:autoSpaceDN w:val="0"/>
        <w:adjustRightInd w:val="0"/>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As stated in the SEM Testing Tariffs</w:t>
      </w:r>
      <w:r w:rsidR="007949E5">
        <w:rPr>
          <w:rFonts w:ascii="Calibri" w:eastAsia="Times New Roman" w:hAnsi="Calibri" w:cs="Times New Roman"/>
          <w:sz w:val="20"/>
          <w:szCs w:val="20"/>
          <w:lang w:val="en-IE" w:eastAsia="en-US" w:bidi="en-US"/>
        </w:rPr>
        <w:t xml:space="preserve"> Recommendations</w:t>
      </w:r>
      <w:r w:rsidRPr="007F5B07">
        <w:rPr>
          <w:rFonts w:ascii="Calibri" w:eastAsia="Times New Roman" w:hAnsi="Calibri" w:cs="Times New Roman"/>
          <w:sz w:val="20"/>
          <w:szCs w:val="20"/>
          <w:lang w:val="en-IE" w:eastAsia="en-US" w:bidi="en-US"/>
        </w:rPr>
        <w:t xml:space="preserve"> Paper</w:t>
      </w:r>
      <w:r w:rsidRPr="007F5B07">
        <w:rPr>
          <w:rFonts w:ascii="Calibri" w:eastAsia="Times New Roman" w:hAnsi="Calibri" w:cs="Times New Roman"/>
          <w:sz w:val="20"/>
          <w:szCs w:val="20"/>
          <w:vertAlign w:val="superscript"/>
          <w:lang w:val="en-IE" w:eastAsia="en-US" w:bidi="en-US"/>
        </w:rPr>
        <w:footnoteReference w:id="5"/>
      </w:r>
      <w:r w:rsidRPr="007F5B07">
        <w:rPr>
          <w:rFonts w:ascii="Calibri" w:eastAsia="Times New Roman" w:hAnsi="Calibri" w:cs="Times New Roman"/>
          <w:sz w:val="20"/>
          <w:szCs w:val="20"/>
          <w:lang w:val="en-IE" w:eastAsia="en-US" w:bidi="en-US"/>
        </w:rPr>
        <w:t xml:space="preserve">, published in 2011, testing of a new generator unit or of an existing generator unit returning from major overhaul is required by the transmission system operator (TSO) in advance of the plant becoming fully operational. During such testing the generator will be classified as a GUUT in the SEM. A unit may also request with the TSO to be classified as a GUUT in SEM to carry out their own testing, for example for maintenance works. </w:t>
      </w:r>
    </w:p>
    <w:p w14:paraId="16FFC34F" w14:textId="77777777" w:rsidR="007F5B07" w:rsidRPr="007F5B07" w:rsidRDefault="007F5B07" w:rsidP="007F5B07">
      <w:pPr>
        <w:autoSpaceDE w:val="0"/>
        <w:autoSpaceDN w:val="0"/>
        <w:adjustRightInd w:val="0"/>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Arial"/>
          <w:sz w:val="20"/>
          <w:szCs w:val="20"/>
          <w:lang w:val="en-IE" w:eastAsia="en-US" w:bidi="en-US"/>
        </w:rPr>
        <w:t>GUUT status in the SEM has a number of advantages for the generator. These include the flexibility to nominate its output and conduct unit tests while being exempt from the application of short notice declaration (the exemption from short notice declarations only applicable if the unit follows its agreed load profile) and trip charges.</w:t>
      </w:r>
      <w:r w:rsidRPr="007F5B07">
        <w:rPr>
          <w:rFonts w:ascii="Calibri" w:eastAsia="Times New Roman" w:hAnsi="Calibri" w:cs="Times New Roman"/>
          <w:sz w:val="20"/>
          <w:szCs w:val="20"/>
          <w:lang w:val="en-IE" w:eastAsia="en-US" w:bidi="en-US"/>
        </w:rPr>
        <w:t xml:space="preserve"> </w:t>
      </w:r>
    </w:p>
    <w:p w14:paraId="6CF45CD4"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Testing tariffs are applied on a €/MWh basis to units that have been granted GUUT status in the SEM. The testing tariff applied is determined on the basis of a generator unit’s registered capacity. Typically units with a larger registered capacity pay a higher testing tariff on all the MWh the units generate. This is considered reflective of the higher system risk associated with the sudden loss of large generator and their impact on unit commitment decisions.</w:t>
      </w:r>
    </w:p>
    <w:p w14:paraId="759A1484" w14:textId="372608AB" w:rsidR="007F5B07" w:rsidRPr="007F5B07" w:rsidRDefault="007F5B07" w:rsidP="007F5B07">
      <w:pPr>
        <w:autoSpaceDE w:val="0"/>
        <w:autoSpaceDN w:val="0"/>
        <w:adjustRightInd w:val="0"/>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Under the current Trad</w:t>
      </w:r>
      <w:r w:rsidR="003D6CCF">
        <w:rPr>
          <w:rFonts w:ascii="Calibri" w:eastAsia="Times New Roman" w:hAnsi="Calibri" w:cs="Times New Roman"/>
          <w:sz w:val="20"/>
          <w:szCs w:val="20"/>
          <w:lang w:val="en-IE" w:eastAsia="en-US" w:bidi="en-US"/>
        </w:rPr>
        <w:t>ing &amp; Settlement Code Version 18</w:t>
      </w:r>
      <w:r w:rsidRPr="007F5B07">
        <w:rPr>
          <w:rFonts w:ascii="Calibri" w:eastAsia="Times New Roman" w:hAnsi="Calibri" w:cs="Times New Roman"/>
          <w:sz w:val="20"/>
          <w:szCs w:val="20"/>
          <w:lang w:val="en-IE" w:eastAsia="en-US" w:bidi="en-US"/>
        </w:rPr>
        <w:t xml:space="preserve">.0, testing tariffs may be applied to Generator Units and Interconnector Error Units. The units that are exempt are Autonomous Generator Units, Pumped Storage Units, Demand Side Units, Interconnector Units and Interconnector Residual Capacity Units.  </w:t>
      </w:r>
    </w:p>
    <w:p w14:paraId="3312148C"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Testing tariffs follow the following principles:</w:t>
      </w:r>
    </w:p>
    <w:p w14:paraId="57AB1DCB" w14:textId="77777777" w:rsidR="007F5B07" w:rsidRPr="007F5B07" w:rsidRDefault="007F5B07" w:rsidP="007F5B07">
      <w:pPr>
        <w:numPr>
          <w:ilvl w:val="0"/>
          <w:numId w:val="28"/>
        </w:numPr>
        <w:spacing w:before="200" w:after="200" w:line="276" w:lineRule="auto"/>
        <w:ind w:left="360"/>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b/>
          <w:sz w:val="20"/>
          <w:szCs w:val="20"/>
          <w:lang w:val="en-IE" w:eastAsia="en-US" w:bidi="en-US"/>
        </w:rPr>
        <w:t>Efficient Testing</w:t>
      </w:r>
      <w:r w:rsidRPr="007F5B07">
        <w:rPr>
          <w:rFonts w:ascii="Calibri" w:eastAsia="Times New Roman" w:hAnsi="Calibri" w:cs="Times New Roman"/>
          <w:sz w:val="20"/>
          <w:szCs w:val="20"/>
          <w:lang w:val="en-IE" w:eastAsia="en-US" w:bidi="en-US"/>
        </w:rPr>
        <w:t xml:space="preserve"> - testing should be carried out in an efficient and prompt manner.</w:t>
      </w:r>
    </w:p>
    <w:p w14:paraId="5AA2D3E7" w14:textId="77777777" w:rsidR="007F5B07" w:rsidRPr="007F5B07" w:rsidRDefault="007F5B07" w:rsidP="007F5B07">
      <w:pPr>
        <w:spacing w:before="200" w:after="200" w:line="276" w:lineRule="auto"/>
        <w:ind w:left="360"/>
        <w:contextualSpacing/>
        <w:jc w:val="both"/>
        <w:rPr>
          <w:rFonts w:ascii="Calibri" w:eastAsia="Times New Roman" w:hAnsi="Calibri" w:cs="Times New Roman"/>
          <w:sz w:val="4"/>
          <w:szCs w:val="4"/>
          <w:lang w:val="en-IE" w:eastAsia="en-US" w:bidi="en-US"/>
        </w:rPr>
      </w:pPr>
    </w:p>
    <w:p w14:paraId="33A838FC" w14:textId="053C35F5" w:rsidR="007F5B07" w:rsidRPr="007F5B07" w:rsidRDefault="007F5B07" w:rsidP="007F5B07">
      <w:pPr>
        <w:numPr>
          <w:ilvl w:val="0"/>
          <w:numId w:val="28"/>
        </w:numPr>
        <w:spacing w:before="200" w:after="200" w:line="276" w:lineRule="auto"/>
        <w:ind w:left="360"/>
        <w:contextualSpacing/>
        <w:jc w:val="both"/>
        <w:rPr>
          <w:rFonts w:ascii="Calibri" w:eastAsia="Times New Roman" w:hAnsi="Calibri" w:cs="Times New Roman"/>
          <w:sz w:val="20"/>
          <w:szCs w:val="20"/>
          <w:lang w:val="en-IE" w:eastAsia="en-US" w:bidi="en-US"/>
        </w:rPr>
      </w:pPr>
      <w:r>
        <w:rPr>
          <w:rFonts w:ascii="Calibri" w:eastAsia="Times New Roman" w:hAnsi="Calibri" w:cs="Times New Roman"/>
          <w:b/>
          <w:sz w:val="20"/>
          <w:szCs w:val="20"/>
          <w:lang w:val="en-IE" w:eastAsia="en-US" w:bidi="en-US"/>
        </w:rPr>
        <w:t xml:space="preserve">Cost </w:t>
      </w:r>
      <w:r w:rsidRPr="007F5B07">
        <w:rPr>
          <w:rFonts w:ascii="Calibri" w:eastAsia="Times New Roman" w:hAnsi="Calibri" w:cs="Times New Roman"/>
          <w:b/>
          <w:sz w:val="20"/>
          <w:szCs w:val="20"/>
          <w:lang w:val="en-IE" w:eastAsia="en-US" w:bidi="en-US"/>
        </w:rPr>
        <w:t>reflectivity</w:t>
      </w:r>
      <w:r w:rsidRPr="007F5B07">
        <w:rPr>
          <w:rFonts w:ascii="Calibri" w:eastAsia="Times New Roman" w:hAnsi="Calibri" w:cs="Times New Roman"/>
          <w:sz w:val="20"/>
          <w:szCs w:val="20"/>
          <w:lang w:val="en-IE" w:eastAsia="en-US" w:bidi="en-US"/>
        </w:rPr>
        <w:t xml:space="preserve"> – where charges are imposed they should be proportionate and cost reflective. Due consideration has been given to making the proposed testing tariffs as cost reflective as possible.</w:t>
      </w:r>
    </w:p>
    <w:p w14:paraId="579EDCE2" w14:textId="77777777" w:rsidR="007F5B07" w:rsidRPr="007F5B07" w:rsidRDefault="007F5B07" w:rsidP="007F5B07">
      <w:pPr>
        <w:spacing w:before="200" w:after="200" w:line="276" w:lineRule="auto"/>
        <w:ind w:left="720"/>
        <w:contextualSpacing/>
        <w:jc w:val="both"/>
        <w:rPr>
          <w:rFonts w:ascii="Calibri" w:eastAsia="Times New Roman" w:hAnsi="Calibri" w:cs="Times New Roman"/>
          <w:sz w:val="4"/>
          <w:szCs w:val="4"/>
          <w:lang w:val="en-IE" w:eastAsia="en-US" w:bidi="en-US"/>
        </w:rPr>
      </w:pPr>
    </w:p>
    <w:p w14:paraId="048CB2EE" w14:textId="77777777" w:rsidR="007F5B07" w:rsidRDefault="007F5B07" w:rsidP="007F5B07">
      <w:pPr>
        <w:numPr>
          <w:ilvl w:val="0"/>
          <w:numId w:val="28"/>
        </w:numPr>
        <w:spacing w:before="200" w:after="200" w:line="276" w:lineRule="auto"/>
        <w:ind w:left="360"/>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b/>
          <w:sz w:val="20"/>
          <w:szCs w:val="20"/>
          <w:lang w:val="en-IE" w:eastAsia="en-US" w:bidi="en-US"/>
        </w:rPr>
        <w:t>Positive Incentives</w:t>
      </w:r>
      <w:r w:rsidRPr="007F5B07">
        <w:rPr>
          <w:rFonts w:ascii="Calibri" w:eastAsia="Times New Roman" w:hAnsi="Calibri" w:cs="Times New Roman"/>
          <w:sz w:val="20"/>
          <w:szCs w:val="20"/>
          <w:lang w:val="en-IE" w:eastAsia="en-US" w:bidi="en-US"/>
        </w:rPr>
        <w:t xml:space="preserve"> – the two different testing tariffs provide a clear financial incentive to units under test to progress through testing promptly.</w:t>
      </w:r>
    </w:p>
    <w:p w14:paraId="378EE8BC" w14:textId="77777777" w:rsidR="007F5B07" w:rsidRPr="007F5B07" w:rsidRDefault="007F5B07" w:rsidP="007F5B07">
      <w:pPr>
        <w:spacing w:before="200" w:after="200" w:line="276" w:lineRule="auto"/>
        <w:contextualSpacing/>
        <w:jc w:val="both"/>
        <w:rPr>
          <w:rFonts w:ascii="Calibri" w:eastAsia="Times New Roman" w:hAnsi="Calibri" w:cs="Times New Roman"/>
          <w:sz w:val="20"/>
          <w:szCs w:val="20"/>
          <w:lang w:val="en-IE" w:eastAsia="en-US" w:bidi="en-US"/>
        </w:rPr>
      </w:pPr>
    </w:p>
    <w:p w14:paraId="24B90C5C" w14:textId="01F17D2E" w:rsidR="007F5B07" w:rsidRPr="007F5B07" w:rsidRDefault="00893DD1" w:rsidP="007F5B07">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IE" w:eastAsia="en-US" w:bidi="en-US"/>
        </w:rPr>
      </w:pPr>
      <w:bookmarkStart w:id="9" w:name="_Toc285028565"/>
      <w:bookmarkStart w:id="10" w:name="_Toc489276438"/>
      <w:r>
        <w:rPr>
          <w:rFonts w:ascii="Calibri" w:eastAsia="Times New Roman" w:hAnsi="Calibri" w:cs="Times New Roman"/>
          <w:caps/>
          <w:spacing w:val="15"/>
          <w:sz w:val="22"/>
          <w:szCs w:val="22"/>
          <w:lang w:val="en-IE" w:eastAsia="en-US" w:bidi="en-US"/>
        </w:rPr>
        <w:t>3</w:t>
      </w:r>
      <w:r w:rsidR="007F5B07" w:rsidRPr="007F5B07">
        <w:rPr>
          <w:rFonts w:ascii="Calibri" w:eastAsia="Times New Roman" w:hAnsi="Calibri" w:cs="Times New Roman"/>
          <w:caps/>
          <w:spacing w:val="15"/>
          <w:sz w:val="22"/>
          <w:szCs w:val="22"/>
          <w:lang w:val="en-IE" w:eastAsia="en-US" w:bidi="en-US"/>
        </w:rPr>
        <w:t>.1</w:t>
      </w:r>
      <w:r w:rsidR="008432F6">
        <w:rPr>
          <w:rFonts w:ascii="Calibri" w:eastAsia="Times New Roman" w:hAnsi="Calibri" w:cs="Times New Roman"/>
          <w:caps/>
          <w:spacing w:val="15"/>
          <w:sz w:val="22"/>
          <w:szCs w:val="22"/>
          <w:lang w:val="en-IE" w:eastAsia="en-US" w:bidi="en-US"/>
        </w:rPr>
        <w:t>.1</w:t>
      </w:r>
      <w:r w:rsidR="007F5B07" w:rsidRPr="007F5B07">
        <w:rPr>
          <w:rFonts w:ascii="Calibri" w:eastAsia="Times New Roman" w:hAnsi="Calibri" w:cs="Times New Roman"/>
          <w:caps/>
          <w:spacing w:val="15"/>
          <w:sz w:val="22"/>
          <w:szCs w:val="22"/>
          <w:lang w:val="en-IE" w:eastAsia="en-US" w:bidi="en-US"/>
        </w:rPr>
        <w:t xml:space="preserve"> Cost of testing</w:t>
      </w:r>
      <w:bookmarkEnd w:id="9"/>
      <w:bookmarkEnd w:id="10"/>
    </w:p>
    <w:p w14:paraId="6A1BEC3A" w14:textId="77777777" w:rsidR="007F5B07" w:rsidRPr="007F5B07" w:rsidRDefault="007F5B07" w:rsidP="007F5B07">
      <w:pPr>
        <w:autoSpaceDE w:val="0"/>
        <w:autoSpaceDN w:val="0"/>
        <w:adjustRightInd w:val="0"/>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Arial"/>
          <w:sz w:val="20"/>
          <w:szCs w:val="20"/>
          <w:lang w:val="en-IE" w:eastAsia="en-US" w:bidi="en-US"/>
        </w:rPr>
        <w:t xml:space="preserve">The costs to the power system incurred that may be attributed to the GUUT are highly volatile and variable. As such, generators pay for the costs of testing based on an agreed schedule of charges. The testing tariffs have been set at a level that should, on average, recover the additional costs imposed on the power system during generator testing. It should be noted that zero provision has been made for the net contribution of generator testing charges to the forecast imperfections revenue requirement as the costs of testing are assumed to be recovered through the testing tariffs. </w:t>
      </w:r>
      <w:r w:rsidRPr="007F5B07">
        <w:rPr>
          <w:rFonts w:ascii="Calibri" w:eastAsia="Times New Roman" w:hAnsi="Calibri" w:cs="Times New Roman"/>
          <w:sz w:val="20"/>
          <w:szCs w:val="20"/>
          <w:lang w:val="en-IE" w:eastAsia="en-US" w:bidi="en-US"/>
        </w:rPr>
        <w:t xml:space="preserve">A GUUT leads to increased system operating costs for several reasons. </w:t>
      </w:r>
    </w:p>
    <w:p w14:paraId="4C425FDC" w14:textId="77777777" w:rsidR="007F5B07" w:rsidRPr="007F5B07" w:rsidRDefault="007F5B07" w:rsidP="007F5B07">
      <w:pPr>
        <w:numPr>
          <w:ilvl w:val="0"/>
          <w:numId w:val="29"/>
        </w:numPr>
        <w:spacing w:before="200" w:after="200" w:line="276" w:lineRule="auto"/>
        <w:contextualSpacing/>
        <w:jc w:val="both"/>
        <w:rPr>
          <w:rFonts w:ascii="Calibri" w:eastAsia="Times New Roman" w:hAnsi="Calibri" w:cs="Arial"/>
          <w:sz w:val="20"/>
          <w:szCs w:val="20"/>
          <w:lang w:val="en-IE" w:eastAsia="en-US" w:bidi="en-US"/>
        </w:rPr>
      </w:pPr>
      <w:r w:rsidRPr="007F5B07">
        <w:rPr>
          <w:rFonts w:ascii="Calibri" w:eastAsia="Times New Roman" w:hAnsi="Calibri" w:cs="Times New Roman"/>
          <w:sz w:val="20"/>
          <w:szCs w:val="20"/>
          <w:lang w:val="en-IE" w:eastAsia="en-US" w:bidi="en-US"/>
        </w:rPr>
        <w:t>The</w:t>
      </w:r>
      <w:r w:rsidRPr="007F5B07">
        <w:rPr>
          <w:rFonts w:ascii="Calibri" w:eastAsia="Times New Roman" w:hAnsi="Calibri" w:cs="Arial"/>
          <w:sz w:val="20"/>
          <w:szCs w:val="20"/>
          <w:lang w:val="en-IE" w:eastAsia="en-US" w:bidi="en-US"/>
        </w:rPr>
        <w:t>re may be a need to commit extra units to ensure a rapid response to changes</w:t>
      </w:r>
      <w:r w:rsidRPr="007F5B07">
        <w:rPr>
          <w:rFonts w:ascii="Calibri" w:eastAsia="Times New Roman" w:hAnsi="Calibri" w:cs="Times New Roman"/>
          <w:sz w:val="20"/>
          <w:szCs w:val="20"/>
          <w:lang w:val="en-IE" w:eastAsia="en-US" w:bidi="en-US"/>
        </w:rPr>
        <w:t xml:space="preserve"> </w:t>
      </w:r>
      <w:r w:rsidRPr="007F5B07">
        <w:rPr>
          <w:rFonts w:ascii="Calibri" w:eastAsia="Times New Roman" w:hAnsi="Calibri" w:cs="Arial"/>
          <w:sz w:val="20"/>
          <w:szCs w:val="20"/>
          <w:lang w:val="en-IE" w:eastAsia="en-US" w:bidi="en-US"/>
        </w:rPr>
        <w:t>from the GUUT’s scheduled output and to ensure that the system would remain</w:t>
      </w:r>
      <w:r w:rsidRPr="007F5B07">
        <w:rPr>
          <w:rFonts w:ascii="Calibri" w:eastAsia="Times New Roman" w:hAnsi="Calibri" w:cs="Times New Roman"/>
          <w:sz w:val="20"/>
          <w:szCs w:val="20"/>
          <w:lang w:val="en-IE" w:eastAsia="en-US" w:bidi="en-US"/>
        </w:rPr>
        <w:t xml:space="preserve"> </w:t>
      </w:r>
      <w:r w:rsidRPr="007F5B07">
        <w:rPr>
          <w:rFonts w:ascii="Calibri" w:eastAsia="Times New Roman" w:hAnsi="Calibri" w:cs="Arial"/>
          <w:sz w:val="20"/>
          <w:szCs w:val="20"/>
          <w:lang w:val="en-IE" w:eastAsia="en-US" w:bidi="en-US"/>
        </w:rPr>
        <w:t>within normal security standards following the loss of the GUUT. This leads to additional constraint costs, known as dispatch balancing costs (DBC) in the SEM.</w:t>
      </w:r>
    </w:p>
    <w:p w14:paraId="29645F41" w14:textId="77777777" w:rsidR="007F5B07" w:rsidRPr="007F5B07" w:rsidRDefault="007F5B07" w:rsidP="007F5B07">
      <w:pPr>
        <w:numPr>
          <w:ilvl w:val="0"/>
          <w:numId w:val="29"/>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Arial"/>
          <w:sz w:val="20"/>
          <w:szCs w:val="20"/>
          <w:lang w:val="en-IE" w:eastAsia="en-US" w:bidi="en-US"/>
        </w:rPr>
        <w:t xml:space="preserve">As the GUUT typically poses a higher risk of tripping, additional operating reserve will be required to ensure that system security is not </w:t>
      </w:r>
      <w:r w:rsidRPr="007F5B07">
        <w:rPr>
          <w:rFonts w:ascii="Calibri" w:eastAsia="Times New Roman" w:hAnsi="Calibri" w:cs="Times New Roman"/>
          <w:sz w:val="20"/>
          <w:szCs w:val="20"/>
          <w:lang w:val="en-IE" w:eastAsia="en-US" w:bidi="en-US"/>
        </w:rPr>
        <w:t xml:space="preserve">compromised </w:t>
      </w:r>
      <w:r w:rsidRPr="007F5B07">
        <w:rPr>
          <w:rFonts w:ascii="Calibri" w:eastAsia="Times New Roman" w:hAnsi="Calibri" w:cs="Arial"/>
          <w:sz w:val="20"/>
          <w:szCs w:val="20"/>
          <w:lang w:val="en-IE" w:eastAsia="en-US" w:bidi="en-US"/>
        </w:rPr>
        <w:t xml:space="preserve">(e.g. 100% or 90% of largest single infeed). </w:t>
      </w:r>
    </w:p>
    <w:p w14:paraId="0AA6FC69" w14:textId="38E2FABE" w:rsidR="007F5B07" w:rsidRDefault="007F5B07" w:rsidP="007F5B07">
      <w:pPr>
        <w:numPr>
          <w:ilvl w:val="0"/>
          <w:numId w:val="29"/>
        </w:numPr>
        <w:spacing w:before="200" w:after="200" w:line="276" w:lineRule="auto"/>
        <w:contextualSpacing/>
        <w:jc w:val="both"/>
        <w:rPr>
          <w:rFonts w:ascii="Calibri" w:eastAsia="Times New Roman" w:hAnsi="Calibri" w:cs="Arial"/>
          <w:sz w:val="20"/>
          <w:szCs w:val="20"/>
          <w:lang w:val="en-IE" w:eastAsia="en-US" w:bidi="en-US"/>
        </w:rPr>
      </w:pPr>
      <w:r w:rsidRPr="007F5B07">
        <w:rPr>
          <w:rFonts w:ascii="Calibri" w:eastAsia="Times New Roman" w:hAnsi="Calibri" w:cs="Arial"/>
          <w:sz w:val="20"/>
          <w:szCs w:val="20"/>
          <w:lang w:val="en-IE" w:eastAsia="en-US" w:bidi="en-US"/>
        </w:rPr>
        <w:lastRenderedPageBreak/>
        <w:t xml:space="preserve">Potential increase to the overall reserve requirement if the testing unit’s output increases the existing reserve requirement on the system. </w:t>
      </w:r>
    </w:p>
    <w:p w14:paraId="4EAF5F2C" w14:textId="7B2EE229" w:rsidR="007F5B07" w:rsidRPr="007F5B07" w:rsidRDefault="007F5B07" w:rsidP="007F5B07">
      <w:pPr>
        <w:rPr>
          <w:rFonts w:ascii="Calibri" w:eastAsia="Times New Roman" w:hAnsi="Calibri" w:cs="Arial"/>
          <w:sz w:val="20"/>
          <w:szCs w:val="20"/>
          <w:lang w:val="en-IE" w:eastAsia="en-US" w:bidi="en-US"/>
        </w:rPr>
      </w:pPr>
    </w:p>
    <w:p w14:paraId="432DF9AC" w14:textId="496E625A" w:rsidR="007F5B07" w:rsidRPr="007F5B07" w:rsidRDefault="00893DD1" w:rsidP="007F5B07">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IE" w:eastAsia="en-US" w:bidi="en-US"/>
        </w:rPr>
      </w:pPr>
      <w:bookmarkStart w:id="11" w:name="_Toc285028566"/>
      <w:bookmarkStart w:id="12" w:name="_Toc285106367"/>
      <w:bookmarkStart w:id="13" w:name="_Toc489276439"/>
      <w:r>
        <w:rPr>
          <w:rFonts w:ascii="Calibri" w:eastAsia="Times New Roman" w:hAnsi="Calibri" w:cs="Times New Roman"/>
          <w:caps/>
          <w:spacing w:val="15"/>
          <w:sz w:val="22"/>
          <w:szCs w:val="22"/>
          <w:lang w:val="en-IE" w:eastAsia="en-US" w:bidi="en-US"/>
        </w:rPr>
        <w:t>3</w:t>
      </w:r>
      <w:r w:rsidR="008432F6">
        <w:rPr>
          <w:rFonts w:ascii="Calibri" w:eastAsia="Times New Roman" w:hAnsi="Calibri" w:cs="Times New Roman"/>
          <w:caps/>
          <w:spacing w:val="15"/>
          <w:sz w:val="22"/>
          <w:szCs w:val="22"/>
          <w:lang w:val="en-IE" w:eastAsia="en-US" w:bidi="en-US"/>
        </w:rPr>
        <w:t>.1.2</w:t>
      </w:r>
      <w:r w:rsidR="008432F6">
        <w:rPr>
          <w:rFonts w:ascii="Calibri" w:eastAsia="Times New Roman" w:hAnsi="Calibri" w:cs="Times New Roman"/>
          <w:caps/>
          <w:spacing w:val="15"/>
          <w:sz w:val="22"/>
          <w:szCs w:val="22"/>
          <w:lang w:val="en-IE" w:eastAsia="en-US" w:bidi="en-US"/>
        </w:rPr>
        <w:tab/>
      </w:r>
      <w:r w:rsidR="007F5B07" w:rsidRPr="007F5B07">
        <w:rPr>
          <w:rFonts w:ascii="Calibri" w:eastAsia="Times New Roman" w:hAnsi="Calibri" w:cs="Times New Roman"/>
          <w:caps/>
          <w:spacing w:val="15"/>
          <w:sz w:val="22"/>
          <w:szCs w:val="22"/>
          <w:lang w:val="en-IE" w:eastAsia="en-US" w:bidi="en-US"/>
        </w:rPr>
        <w:t>Generator Testing</w:t>
      </w:r>
      <w:bookmarkEnd w:id="11"/>
      <w:bookmarkEnd w:id="12"/>
      <w:bookmarkEnd w:id="13"/>
    </w:p>
    <w:p w14:paraId="55D017CC" w14:textId="77777777" w:rsidR="007F5B07" w:rsidRPr="007F5B07" w:rsidRDefault="007F5B07" w:rsidP="007F5B07">
      <w:pPr>
        <w:spacing w:before="200" w:after="200" w:line="276" w:lineRule="auto"/>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To ensure system security, the TSO divides testing into phases according to the reliability of the GUUT. There are three phases of testing that a unit undergoes:</w:t>
      </w:r>
    </w:p>
    <w:p w14:paraId="2B2DBE8F" w14:textId="77777777" w:rsidR="007F5B07" w:rsidRPr="007F5B07" w:rsidRDefault="007F5B07" w:rsidP="007F5B07">
      <w:pPr>
        <w:numPr>
          <w:ilvl w:val="0"/>
          <w:numId w:val="30"/>
        </w:numPr>
        <w:spacing w:before="200" w:after="200" w:line="276" w:lineRule="auto"/>
        <w:ind w:left="360"/>
        <w:contextualSpacing/>
        <w:jc w:val="both"/>
        <w:rPr>
          <w:rFonts w:ascii="Calibri" w:eastAsia="Times New Roman" w:hAnsi="Calibri" w:cs="Times New Roman"/>
          <w:b/>
          <w:sz w:val="20"/>
          <w:szCs w:val="20"/>
          <w:lang w:val="en-IE" w:eastAsia="en-US" w:bidi="en-US"/>
        </w:rPr>
      </w:pPr>
      <w:r w:rsidRPr="007F5B07">
        <w:rPr>
          <w:rFonts w:ascii="Calibri" w:eastAsia="Times New Roman" w:hAnsi="Calibri" w:cs="Times New Roman"/>
          <w:b/>
          <w:sz w:val="20"/>
          <w:szCs w:val="20"/>
          <w:lang w:val="en-IE" w:eastAsia="en-US" w:bidi="en-US"/>
        </w:rPr>
        <w:t xml:space="preserve">Phase 1 Test Criteria - </w:t>
      </w:r>
      <w:r w:rsidRPr="007F5B07">
        <w:rPr>
          <w:rFonts w:ascii="Calibri" w:eastAsia="Times New Roman" w:hAnsi="Calibri" w:cs="Times New Roman"/>
          <w:sz w:val="20"/>
          <w:szCs w:val="20"/>
          <w:lang w:val="en-IE" w:eastAsia="en-US" w:bidi="en-US"/>
        </w:rPr>
        <w:t>In this phase, the unit is considered to be highly unreliable and it is necessary to have sufficient system reserve on line to cover 100% of the MW produced by the generator under test.</w:t>
      </w:r>
    </w:p>
    <w:p w14:paraId="14F43870" w14:textId="77777777" w:rsidR="007F5B07" w:rsidRPr="007F5B07" w:rsidRDefault="007F5B07" w:rsidP="007F5B07">
      <w:pPr>
        <w:spacing w:before="200" w:after="200" w:line="276" w:lineRule="auto"/>
        <w:ind w:left="360"/>
        <w:contextualSpacing/>
        <w:jc w:val="both"/>
        <w:rPr>
          <w:rFonts w:ascii="Calibri" w:eastAsia="Times New Roman" w:hAnsi="Calibri" w:cs="Times New Roman"/>
          <w:b/>
          <w:sz w:val="20"/>
          <w:szCs w:val="20"/>
          <w:lang w:val="en-IE" w:eastAsia="en-US" w:bidi="en-US"/>
        </w:rPr>
      </w:pPr>
    </w:p>
    <w:p w14:paraId="7825D4E9" w14:textId="77777777" w:rsidR="007F5B07" w:rsidRPr="007F5B07" w:rsidRDefault="007F5B07" w:rsidP="007F5B07">
      <w:pPr>
        <w:numPr>
          <w:ilvl w:val="0"/>
          <w:numId w:val="30"/>
        </w:numPr>
        <w:spacing w:before="200" w:after="200" w:line="276" w:lineRule="auto"/>
        <w:ind w:left="360"/>
        <w:contextualSpacing/>
        <w:jc w:val="both"/>
        <w:rPr>
          <w:rFonts w:ascii="Calibri" w:eastAsia="Times New Roman" w:hAnsi="Calibri" w:cs="Times New Roman"/>
          <w:b/>
          <w:sz w:val="20"/>
          <w:szCs w:val="20"/>
          <w:lang w:val="en-IE" w:eastAsia="en-US" w:bidi="en-US"/>
        </w:rPr>
      </w:pPr>
      <w:r w:rsidRPr="007F5B07">
        <w:rPr>
          <w:rFonts w:ascii="Calibri" w:eastAsia="Times New Roman" w:hAnsi="Calibri" w:cs="Times New Roman"/>
          <w:b/>
          <w:sz w:val="20"/>
          <w:szCs w:val="20"/>
          <w:lang w:val="en-IE" w:eastAsia="en-US" w:bidi="en-US"/>
        </w:rPr>
        <w:t xml:space="preserve">Phase 2 Test Criteria - </w:t>
      </w:r>
      <w:r w:rsidRPr="007F5B07">
        <w:rPr>
          <w:rFonts w:ascii="Calibri" w:eastAsia="Times New Roman" w:hAnsi="Calibri" w:cs="Times New Roman"/>
          <w:sz w:val="20"/>
          <w:szCs w:val="20"/>
          <w:lang w:val="en-IE" w:eastAsia="en-US" w:bidi="en-US"/>
        </w:rPr>
        <w:t xml:space="preserve">The unit is assumed to be more reliable than in Phase1 but not as reliable as a unit in normal operation. Sufficient system reserve to cover 90% of the MW produced by the generator under test will be maintained. </w:t>
      </w:r>
    </w:p>
    <w:p w14:paraId="5E65DFA3" w14:textId="77777777" w:rsidR="007F5B07" w:rsidRPr="007F5B07" w:rsidRDefault="007F5B07" w:rsidP="007F5B07">
      <w:pPr>
        <w:spacing w:before="200" w:after="200" w:line="276" w:lineRule="auto"/>
        <w:ind w:left="360"/>
        <w:contextualSpacing/>
        <w:jc w:val="both"/>
        <w:rPr>
          <w:rFonts w:ascii="Calibri" w:eastAsia="Times New Roman" w:hAnsi="Calibri" w:cs="Times New Roman"/>
          <w:b/>
          <w:sz w:val="20"/>
          <w:szCs w:val="20"/>
          <w:lang w:val="en-IE" w:eastAsia="en-US" w:bidi="en-US"/>
        </w:rPr>
      </w:pPr>
    </w:p>
    <w:p w14:paraId="054146C3" w14:textId="77777777" w:rsidR="007F5B07" w:rsidRPr="007F5B07" w:rsidRDefault="007F5B07" w:rsidP="007F5B07">
      <w:pPr>
        <w:numPr>
          <w:ilvl w:val="0"/>
          <w:numId w:val="30"/>
        </w:numPr>
        <w:spacing w:before="200" w:after="200" w:line="276" w:lineRule="auto"/>
        <w:ind w:left="360"/>
        <w:contextualSpacing/>
        <w:jc w:val="both"/>
        <w:rPr>
          <w:rFonts w:ascii="Calibri" w:eastAsia="Times New Roman" w:hAnsi="Calibri" w:cs="Times New Roman"/>
          <w:b/>
          <w:sz w:val="20"/>
          <w:szCs w:val="20"/>
          <w:lang w:val="en-IE" w:eastAsia="en-US" w:bidi="en-US"/>
        </w:rPr>
      </w:pPr>
      <w:r w:rsidRPr="007F5B07">
        <w:rPr>
          <w:rFonts w:ascii="Calibri" w:eastAsia="Times New Roman" w:hAnsi="Calibri" w:cs="Times New Roman"/>
          <w:b/>
          <w:sz w:val="20"/>
          <w:szCs w:val="20"/>
          <w:lang w:val="en-IE" w:eastAsia="en-US" w:bidi="en-US"/>
        </w:rPr>
        <w:t xml:space="preserve">Phase 3 Test Criteria - </w:t>
      </w:r>
      <w:r w:rsidRPr="007F5B07">
        <w:rPr>
          <w:rFonts w:ascii="Calibri" w:eastAsia="Times New Roman" w:hAnsi="Calibri" w:cs="Times New Roman"/>
          <w:sz w:val="20"/>
          <w:szCs w:val="20"/>
          <w:lang w:val="en-IE" w:eastAsia="en-US" w:bidi="en-US"/>
        </w:rPr>
        <w:t>At this stage of testing the unit is deemed to be reasonably reliable and normal reserve rules will apply. However, any tripping or unreliable behaviour or known reliability problems occurring during Phase 3 testing may require a restart of Phase 2 with the appropriate operating conditions being restored. Typically, Phase 3 testing will apply to a GUUT during latter stages of commissioning and other general testing on an ongoing basis.</w:t>
      </w:r>
    </w:p>
    <w:p w14:paraId="71EEAD0D" w14:textId="77777777" w:rsid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p w14:paraId="3C1BD4AD" w14:textId="6BB6D589" w:rsidR="007F5B07" w:rsidRDefault="007F5B07" w:rsidP="00E723C4">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Tariff A covers the system operator cost of higher risk testing, which is typically Phase 1 and 2 testing. Tariff B covers the costs when a unit enters Phase 3 of testing, either upon completing Phases 1 and 2 of testing or when an existing operational unit is granted GUUT status in SEM.</w:t>
      </w:r>
    </w:p>
    <w:p w14:paraId="602AE560" w14:textId="77777777" w:rsidR="00E723C4" w:rsidRPr="007F5B07" w:rsidRDefault="00E723C4" w:rsidP="00E723C4">
      <w:pPr>
        <w:spacing w:before="200" w:after="200" w:line="276" w:lineRule="auto"/>
        <w:jc w:val="both"/>
        <w:rPr>
          <w:rFonts w:ascii="Calibri" w:eastAsia="Times New Roman" w:hAnsi="Calibri" w:cs="Times New Roman"/>
          <w:sz w:val="20"/>
          <w:szCs w:val="20"/>
          <w:lang w:val="en-IE" w:eastAsia="en-US" w:bidi="en-US"/>
        </w:rPr>
      </w:pPr>
    </w:p>
    <w:p w14:paraId="248861E5" w14:textId="790EB163" w:rsidR="007F5B07" w:rsidRPr="007F5B07" w:rsidRDefault="00893DD1" w:rsidP="008432F6">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b/>
          <w:bCs/>
          <w:caps/>
          <w:color w:val="FFFFFF"/>
          <w:spacing w:val="15"/>
          <w:sz w:val="22"/>
          <w:szCs w:val="22"/>
          <w:lang w:val="en-IE" w:eastAsia="en-US" w:bidi="en-US"/>
        </w:rPr>
      </w:pPr>
      <w:bookmarkStart w:id="14" w:name="_Toc489276440"/>
      <w:r>
        <w:rPr>
          <w:rFonts w:ascii="Calibri" w:eastAsia="Times New Roman" w:hAnsi="Calibri" w:cs="Times New Roman"/>
          <w:bCs/>
          <w:caps/>
          <w:spacing w:val="15"/>
          <w:sz w:val="22"/>
          <w:szCs w:val="22"/>
          <w:lang w:val="en-IE" w:eastAsia="en-US" w:bidi="en-US"/>
        </w:rPr>
        <w:t>3</w:t>
      </w:r>
      <w:r w:rsidR="008432F6" w:rsidRPr="008432F6">
        <w:rPr>
          <w:rFonts w:ascii="Calibri" w:eastAsia="Times New Roman" w:hAnsi="Calibri" w:cs="Times New Roman"/>
          <w:bCs/>
          <w:caps/>
          <w:spacing w:val="15"/>
          <w:sz w:val="22"/>
          <w:szCs w:val="22"/>
          <w:lang w:val="en-IE" w:eastAsia="en-US" w:bidi="en-US"/>
        </w:rPr>
        <w:t>.2</w:t>
      </w:r>
      <w:r w:rsidR="008432F6">
        <w:rPr>
          <w:rFonts w:ascii="Calibri" w:eastAsia="Times New Roman" w:hAnsi="Calibri" w:cs="Times New Roman"/>
          <w:b/>
          <w:bCs/>
          <w:caps/>
          <w:spacing w:val="15"/>
          <w:sz w:val="22"/>
          <w:szCs w:val="22"/>
          <w:lang w:val="en-IE" w:eastAsia="en-US" w:bidi="en-US"/>
        </w:rPr>
        <w:tab/>
      </w:r>
      <w:r w:rsidR="007F5B07" w:rsidRPr="008432F6">
        <w:rPr>
          <w:rFonts w:ascii="Calibri" w:eastAsia="Times New Roman" w:hAnsi="Calibri" w:cs="Times New Roman"/>
          <w:caps/>
          <w:spacing w:val="15"/>
          <w:sz w:val="22"/>
          <w:szCs w:val="22"/>
          <w:lang w:val="en-IE" w:eastAsia="en-US" w:bidi="en-US"/>
        </w:rPr>
        <w:t>Assumptions</w:t>
      </w:r>
      <w:bookmarkEnd w:id="14"/>
      <w:r w:rsidR="007F5B07" w:rsidRPr="007F5B07">
        <w:rPr>
          <w:rFonts w:ascii="Calibri" w:eastAsia="Times New Roman" w:hAnsi="Calibri" w:cs="Times New Roman"/>
          <w:b/>
          <w:bCs/>
          <w:caps/>
          <w:color w:val="FFFFFF"/>
          <w:spacing w:val="15"/>
          <w:sz w:val="22"/>
          <w:szCs w:val="22"/>
          <w:lang w:val="en-IE" w:eastAsia="en-US" w:bidi="en-US"/>
        </w:rPr>
        <w:t xml:space="preserve"> </w:t>
      </w:r>
    </w:p>
    <w:p w14:paraId="1F204C16" w14:textId="0C38DB4D" w:rsidR="007F5B07" w:rsidRPr="007F5B07" w:rsidRDefault="008432F6" w:rsidP="007F5B07">
      <w:pPr>
        <w:spacing w:before="200" w:after="200" w:line="276" w:lineRule="auto"/>
        <w:jc w:val="both"/>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As the proposed rates for 2018 are carried over from 2017, t</w:t>
      </w:r>
      <w:r w:rsidR="007F5B07" w:rsidRPr="007F5B07">
        <w:rPr>
          <w:rFonts w:ascii="Calibri" w:eastAsia="Times New Roman" w:hAnsi="Calibri" w:cs="Times New Roman"/>
          <w:sz w:val="20"/>
          <w:szCs w:val="20"/>
          <w:lang w:val="en-IE" w:eastAsia="en-US" w:bidi="en-US"/>
        </w:rPr>
        <w:t>he testing tariff s</w:t>
      </w:r>
      <w:r>
        <w:rPr>
          <w:rFonts w:ascii="Calibri" w:eastAsia="Times New Roman" w:hAnsi="Calibri" w:cs="Times New Roman"/>
          <w:sz w:val="20"/>
          <w:szCs w:val="20"/>
          <w:lang w:val="en-IE" w:eastAsia="en-US" w:bidi="en-US"/>
        </w:rPr>
        <w:t>tudies and calculations for 2017 are still applicable and underpinned</w:t>
      </w:r>
      <w:r w:rsidR="007F5B07" w:rsidRPr="007F5B07">
        <w:rPr>
          <w:rFonts w:ascii="Calibri" w:eastAsia="Times New Roman" w:hAnsi="Calibri" w:cs="Times New Roman"/>
          <w:sz w:val="20"/>
          <w:szCs w:val="20"/>
          <w:lang w:val="en-IE" w:eastAsia="en-US" w:bidi="en-US"/>
        </w:rPr>
        <w:t xml:space="preserve"> by the following assumptions:</w:t>
      </w:r>
    </w:p>
    <w:p w14:paraId="35139CD1" w14:textId="38AF34D1" w:rsidR="007F5B07" w:rsidRPr="007F5B07" w:rsidRDefault="007F5B07" w:rsidP="007F5B07">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The current largest single infeed connected to the transmission system on the island of Ireland </w:t>
      </w:r>
      <w:r w:rsidR="008432F6">
        <w:rPr>
          <w:rFonts w:ascii="Calibri" w:eastAsia="Times New Roman" w:hAnsi="Calibri" w:cs="Times New Roman"/>
          <w:sz w:val="20"/>
          <w:szCs w:val="20"/>
          <w:lang w:val="en-IE" w:eastAsia="en-US" w:bidi="en-US"/>
        </w:rPr>
        <w:t>is 504</w:t>
      </w:r>
      <w:r w:rsidRPr="007F5B07">
        <w:rPr>
          <w:rFonts w:ascii="Calibri" w:eastAsia="Times New Roman" w:hAnsi="Calibri" w:cs="Times New Roman"/>
          <w:sz w:val="20"/>
          <w:szCs w:val="20"/>
          <w:lang w:val="en-IE" w:eastAsia="en-US" w:bidi="en-US"/>
        </w:rPr>
        <w:t>MW. It should however be noted that the actual largest single infeed will vary depending on system dispatch.</w:t>
      </w:r>
    </w:p>
    <w:p w14:paraId="4C73D9F0" w14:textId="77777777" w:rsidR="007F5B07" w:rsidRPr="007F5B07" w:rsidRDefault="007F5B07" w:rsidP="007F5B07">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In the base case, the level of reserve carried, in normal operation, is reflective of the reserve guidelines being implemented at the time the studies and calculations were carried out (75% of the largest single infeed for primary operating reserve (POR) and secondary operating reserve (SOR)).</w:t>
      </w:r>
    </w:p>
    <w:p w14:paraId="137CA821" w14:textId="20C49ADF" w:rsidR="007F5B07" w:rsidRPr="00F64462" w:rsidRDefault="007F5B07" w:rsidP="00F64462">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The reserve payment rates are in accordance with </w:t>
      </w:r>
      <w:r w:rsidR="00F64462">
        <w:rPr>
          <w:rFonts w:ascii="Calibri" w:eastAsia="Times New Roman" w:hAnsi="Calibri" w:cs="Times New Roman"/>
          <w:sz w:val="20"/>
          <w:szCs w:val="20"/>
          <w:lang w:val="en-IE" w:eastAsia="en-US" w:bidi="en-US"/>
        </w:rPr>
        <w:t>the DS3 System Services Interim Tariff Rates  2016/2017</w:t>
      </w:r>
      <w:r w:rsidRPr="007F5B07">
        <w:rPr>
          <w:rFonts w:ascii="Calibri" w:eastAsia="Times New Roman" w:hAnsi="Calibri" w:cs="Times New Roman"/>
          <w:sz w:val="20"/>
          <w:szCs w:val="20"/>
          <w:vertAlign w:val="superscript"/>
          <w:lang w:val="en-IE" w:eastAsia="en-US" w:bidi="en-US"/>
        </w:rPr>
        <w:footnoteReference w:id="6"/>
      </w:r>
      <w:r w:rsidRPr="00F64462">
        <w:rPr>
          <w:rFonts w:ascii="Calibri" w:eastAsia="Times New Roman" w:hAnsi="Calibri" w:cs="Times New Roman"/>
          <w:sz w:val="20"/>
          <w:szCs w:val="20"/>
          <w:lang w:val="en-IE" w:eastAsia="en-US" w:bidi="en-US"/>
        </w:rPr>
        <w:t>.</w:t>
      </w:r>
    </w:p>
    <w:p w14:paraId="304AA898" w14:textId="54AD01C2" w:rsidR="007F5B07" w:rsidRPr="007F5B07" w:rsidRDefault="007F5B07" w:rsidP="007F5B07">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The modelling is performed using the Plexos modelling tool which uses the Regulatory Authorities’ validated generator dataset to represent the generators in the SEM, in combination with assumptions developed to determine the annual DBC forecast</w:t>
      </w:r>
      <w:r w:rsidR="00F64462">
        <w:rPr>
          <w:rFonts w:ascii="Calibri" w:eastAsia="Times New Roman" w:hAnsi="Calibri" w:cs="Times New Roman"/>
          <w:sz w:val="20"/>
          <w:szCs w:val="20"/>
          <w:lang w:val="en-IE" w:eastAsia="en-US" w:bidi="en-US"/>
        </w:rPr>
        <w:t xml:space="preserve"> 2016/2017</w:t>
      </w:r>
      <w:r w:rsidRPr="007F5B07">
        <w:rPr>
          <w:rFonts w:ascii="Calibri" w:eastAsia="Times New Roman" w:hAnsi="Calibri" w:cs="Times New Roman"/>
          <w:sz w:val="20"/>
          <w:szCs w:val="20"/>
          <w:lang w:val="en-IE" w:eastAsia="en-US" w:bidi="en-US"/>
        </w:rPr>
        <w:t xml:space="preserve"> </w:t>
      </w:r>
      <w:r w:rsidRPr="007F5B07">
        <w:rPr>
          <w:rFonts w:ascii="Calibri" w:eastAsia="Times New Roman" w:hAnsi="Calibri" w:cs="Times New Roman"/>
          <w:sz w:val="20"/>
          <w:szCs w:val="20"/>
          <w:vertAlign w:val="superscript"/>
          <w:lang w:val="en-IE" w:eastAsia="en-US" w:bidi="en-US"/>
        </w:rPr>
        <w:footnoteReference w:id="7"/>
      </w:r>
      <w:r w:rsidRPr="007F5B07">
        <w:rPr>
          <w:rFonts w:ascii="Calibri" w:eastAsia="Times New Roman" w:hAnsi="Calibri" w:cs="Times New Roman"/>
          <w:sz w:val="20"/>
          <w:szCs w:val="20"/>
          <w:lang w:val="en-IE" w:eastAsia="en-US" w:bidi="en-US"/>
        </w:rPr>
        <w:t>. The transmission system is not modelled.</w:t>
      </w:r>
    </w:p>
    <w:p w14:paraId="3B32A84F" w14:textId="77777777" w:rsidR="007F5B07" w:rsidRPr="007F5B07" w:rsidRDefault="007F5B07" w:rsidP="007F5B07">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The cost components</w:t>
      </w:r>
      <w:r w:rsidRPr="007F5B07">
        <w:rPr>
          <w:rFonts w:ascii="Calibri" w:eastAsia="Times New Roman" w:hAnsi="Calibri" w:cs="Times New Roman"/>
          <w:sz w:val="20"/>
          <w:szCs w:val="20"/>
          <w:vertAlign w:val="superscript"/>
          <w:lang w:val="en-IE" w:eastAsia="en-US" w:bidi="en-US"/>
        </w:rPr>
        <w:footnoteReference w:id="8"/>
      </w:r>
      <w:r w:rsidRPr="007F5B07">
        <w:rPr>
          <w:rFonts w:ascii="Calibri" w:eastAsia="Times New Roman" w:hAnsi="Calibri" w:cs="Times New Roman"/>
          <w:sz w:val="20"/>
          <w:szCs w:val="20"/>
          <w:lang w:val="en-IE" w:eastAsia="en-US" w:bidi="en-US"/>
        </w:rPr>
        <w:t xml:space="preserve"> associated with testing tariff A are:</w:t>
      </w:r>
    </w:p>
    <w:p w14:paraId="216FB76B" w14:textId="43B8268A" w:rsidR="007F5B07" w:rsidRPr="007F5B07" w:rsidRDefault="007F5B07" w:rsidP="007F5B07">
      <w:pPr>
        <w:numPr>
          <w:ilvl w:val="1"/>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lastRenderedPageBreak/>
        <w:t>additional reserve constraint cost;</w:t>
      </w:r>
    </w:p>
    <w:p w14:paraId="55DC39BE" w14:textId="77777777" w:rsidR="007F5B07" w:rsidRPr="007F5B07" w:rsidRDefault="007F5B07" w:rsidP="007F5B07">
      <w:pPr>
        <w:numPr>
          <w:ilvl w:val="1"/>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increased cost of operational reserve</w:t>
      </w:r>
    </w:p>
    <w:p w14:paraId="7CA01EDD" w14:textId="77777777" w:rsidR="007F5B07" w:rsidRPr="007F5B07" w:rsidRDefault="007F5B07" w:rsidP="007F5B07">
      <w:pPr>
        <w:numPr>
          <w:ilvl w:val="1"/>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additional run hours, and </w:t>
      </w:r>
    </w:p>
    <w:p w14:paraId="25CCF342" w14:textId="77777777" w:rsidR="007F5B07" w:rsidRPr="007F5B07" w:rsidRDefault="007F5B07" w:rsidP="007F5B07">
      <w:pPr>
        <w:numPr>
          <w:ilvl w:val="1"/>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The cost of sudden output loss of units under phase 1 and phase 2 of testing (cost of interconnector trip is not considered).</w:t>
      </w:r>
      <w:r w:rsidRPr="007F5B07">
        <w:rPr>
          <w:rFonts w:ascii="Calibri" w:eastAsia="Times New Roman" w:hAnsi="Calibri" w:cs="Times New Roman"/>
          <w:sz w:val="20"/>
          <w:szCs w:val="20"/>
          <w:vertAlign w:val="superscript"/>
          <w:lang w:val="en-IE" w:eastAsia="en-US" w:bidi="en-US"/>
        </w:rPr>
        <w:t xml:space="preserve"> </w:t>
      </w:r>
    </w:p>
    <w:p w14:paraId="429CDEE7" w14:textId="77777777" w:rsidR="007F5B07" w:rsidRPr="007F5B07" w:rsidRDefault="007F5B07" w:rsidP="007F5B07">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The only cost component associated with this testing tariff B is the cost of tripping of units under phase 3 testing.</w:t>
      </w:r>
    </w:p>
    <w:p w14:paraId="1720190A" w14:textId="77777777" w:rsidR="007F5B07" w:rsidRPr="007F5B07" w:rsidRDefault="007F5B07" w:rsidP="007F5B07">
      <w:pPr>
        <w:numPr>
          <w:ilvl w:val="0"/>
          <w:numId w:val="27"/>
        </w:numPr>
        <w:spacing w:before="200" w:after="200" w:line="276" w:lineRule="auto"/>
        <w:contextualSpacing/>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GB" w:eastAsia="en-US" w:bidi="en-US"/>
        </w:rPr>
        <w:t>Interconnector flows are assumed not to be affected by the testing unit.</w:t>
      </w:r>
    </w:p>
    <w:p w14:paraId="4D2D76BA" w14:textId="77777777" w:rsidR="00D251F5" w:rsidRPr="007F5B07" w:rsidRDefault="00D251F5" w:rsidP="007F5B07">
      <w:pPr>
        <w:spacing w:before="200" w:after="200" w:line="276" w:lineRule="auto"/>
        <w:rPr>
          <w:rFonts w:ascii="Calibri" w:eastAsia="Times New Roman" w:hAnsi="Calibri" w:cs="Times New Roman"/>
          <w:sz w:val="20"/>
          <w:szCs w:val="20"/>
          <w:lang w:val="en-IE" w:eastAsia="en-US" w:bidi="en-US"/>
        </w:rPr>
      </w:pPr>
    </w:p>
    <w:p w14:paraId="0E6E1516" w14:textId="115E2E66" w:rsidR="007F5B07" w:rsidRPr="007F5B07" w:rsidRDefault="00893DD1"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rPr>
          <w:rFonts w:ascii="Calibri" w:eastAsia="Times New Roman" w:hAnsi="Calibri" w:cs="Times New Roman"/>
          <w:b/>
          <w:bCs/>
          <w:caps/>
          <w:color w:val="FFFFFF"/>
          <w:spacing w:val="15"/>
          <w:sz w:val="22"/>
          <w:szCs w:val="22"/>
          <w:lang w:val="en-IE" w:eastAsia="en-US" w:bidi="en-US"/>
        </w:rPr>
      </w:pPr>
      <w:bookmarkStart w:id="15" w:name="_Toc489276441"/>
      <w:r>
        <w:rPr>
          <w:rFonts w:ascii="Calibri" w:eastAsia="Times New Roman" w:hAnsi="Calibri" w:cs="Times New Roman"/>
          <w:b/>
          <w:bCs/>
          <w:caps/>
          <w:color w:val="FFFFFF"/>
          <w:spacing w:val="15"/>
          <w:sz w:val="22"/>
          <w:szCs w:val="22"/>
          <w:lang w:val="en-IE" w:eastAsia="en-US" w:bidi="en-US"/>
        </w:rPr>
        <w:t>4</w:t>
      </w:r>
      <w:r w:rsidR="007F5B07" w:rsidRPr="007F5B07">
        <w:rPr>
          <w:rFonts w:ascii="Calibri" w:eastAsia="Times New Roman" w:hAnsi="Calibri" w:cs="Times New Roman"/>
          <w:b/>
          <w:bCs/>
          <w:caps/>
          <w:color w:val="FFFFFF"/>
          <w:spacing w:val="15"/>
          <w:sz w:val="22"/>
          <w:szCs w:val="22"/>
          <w:lang w:val="en-IE" w:eastAsia="en-US" w:bidi="en-US"/>
        </w:rPr>
        <w:t>.0 Proposed Testing Tariffs</w:t>
      </w:r>
      <w:bookmarkEnd w:id="15"/>
    </w:p>
    <w:p w14:paraId="302BA39E" w14:textId="4A5F03E1"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Testing tariffs (A and B) which are applied to GUUT in the SEM </w:t>
      </w:r>
      <w:r w:rsidR="00E723C4">
        <w:rPr>
          <w:rFonts w:ascii="Calibri" w:eastAsia="Times New Roman" w:hAnsi="Calibri" w:cs="Times New Roman"/>
          <w:sz w:val="20"/>
          <w:szCs w:val="20"/>
          <w:lang w:val="en-IE" w:eastAsia="en-US" w:bidi="en-US"/>
        </w:rPr>
        <w:t>were analysed in 2016 for 1</w:t>
      </w:r>
      <w:r w:rsidR="00E723C4" w:rsidRPr="00E723C4">
        <w:rPr>
          <w:rFonts w:ascii="Calibri" w:eastAsia="Times New Roman" w:hAnsi="Calibri" w:cs="Times New Roman"/>
          <w:sz w:val="20"/>
          <w:szCs w:val="20"/>
          <w:vertAlign w:val="superscript"/>
          <w:lang w:val="en-IE" w:eastAsia="en-US" w:bidi="en-US"/>
        </w:rPr>
        <w:t>st</w:t>
      </w:r>
      <w:r w:rsidR="00E723C4">
        <w:rPr>
          <w:rFonts w:ascii="Calibri" w:eastAsia="Times New Roman" w:hAnsi="Calibri" w:cs="Times New Roman"/>
          <w:sz w:val="20"/>
          <w:szCs w:val="20"/>
          <w:lang w:val="en-IE" w:eastAsia="en-US" w:bidi="en-US"/>
        </w:rPr>
        <w:t xml:space="preserve"> January to 31</w:t>
      </w:r>
      <w:r w:rsidR="00E723C4" w:rsidRPr="00E723C4">
        <w:rPr>
          <w:rFonts w:ascii="Calibri" w:eastAsia="Times New Roman" w:hAnsi="Calibri" w:cs="Times New Roman"/>
          <w:sz w:val="20"/>
          <w:szCs w:val="20"/>
          <w:vertAlign w:val="superscript"/>
          <w:lang w:val="en-IE" w:eastAsia="en-US" w:bidi="en-US"/>
        </w:rPr>
        <w:t>st</w:t>
      </w:r>
      <w:r w:rsidR="00E723C4">
        <w:rPr>
          <w:rFonts w:ascii="Calibri" w:eastAsia="Times New Roman" w:hAnsi="Calibri" w:cs="Times New Roman"/>
          <w:sz w:val="20"/>
          <w:szCs w:val="20"/>
          <w:lang w:val="en-IE" w:eastAsia="en-US" w:bidi="en-US"/>
        </w:rPr>
        <w:t xml:space="preserve"> December 2017 and the </w:t>
      </w:r>
      <w:r w:rsidR="00E723C4" w:rsidRPr="007F5B07">
        <w:rPr>
          <w:rFonts w:ascii="Calibri" w:eastAsia="Times New Roman" w:hAnsi="Calibri" w:cs="Times New Roman"/>
          <w:sz w:val="20"/>
          <w:szCs w:val="20"/>
          <w:lang w:val="en-IE" w:eastAsia="en-US" w:bidi="en-US"/>
        </w:rPr>
        <w:t>results</w:t>
      </w:r>
      <w:r w:rsidR="00E723C4">
        <w:rPr>
          <w:rFonts w:ascii="Calibri" w:eastAsia="Times New Roman" w:hAnsi="Calibri" w:cs="Times New Roman"/>
          <w:sz w:val="20"/>
          <w:szCs w:val="20"/>
          <w:lang w:val="en-IE" w:eastAsia="en-US" w:bidi="en-US"/>
        </w:rPr>
        <w:t xml:space="preserve"> are discussed below.  As I-SEM will be implemented </w:t>
      </w:r>
      <w:r w:rsidR="00F16B7C">
        <w:rPr>
          <w:rFonts w:ascii="Calibri" w:eastAsia="Times New Roman" w:hAnsi="Calibri" w:cs="Times New Roman"/>
          <w:sz w:val="20"/>
          <w:szCs w:val="20"/>
          <w:lang w:val="en-IE" w:eastAsia="en-US" w:bidi="en-US"/>
        </w:rPr>
        <w:t>during 2018</w:t>
      </w:r>
      <w:r w:rsidR="00E723C4">
        <w:rPr>
          <w:rFonts w:ascii="Calibri" w:eastAsia="Times New Roman" w:hAnsi="Calibri" w:cs="Times New Roman"/>
          <w:sz w:val="20"/>
          <w:szCs w:val="20"/>
          <w:lang w:val="en-IE" w:eastAsia="en-US" w:bidi="en-US"/>
        </w:rPr>
        <w:t xml:space="preserve">, it is proposed to utilise the existing 2017 SEM testing tariff rates until </w:t>
      </w:r>
      <w:r w:rsidR="00F16B7C">
        <w:rPr>
          <w:rFonts w:ascii="Calibri" w:eastAsia="Times New Roman" w:hAnsi="Calibri" w:cs="Times New Roman"/>
          <w:sz w:val="20"/>
          <w:szCs w:val="20"/>
          <w:lang w:val="en-IE" w:eastAsia="en-US" w:bidi="en-US"/>
        </w:rPr>
        <w:t>I-SEM go live</w:t>
      </w:r>
      <w:r w:rsidR="00E723C4">
        <w:rPr>
          <w:rFonts w:ascii="Calibri" w:eastAsia="Times New Roman" w:hAnsi="Calibri" w:cs="Times New Roman"/>
          <w:sz w:val="20"/>
          <w:szCs w:val="20"/>
          <w:lang w:val="en-IE" w:eastAsia="en-US" w:bidi="en-US"/>
        </w:rPr>
        <w:t>.</w:t>
      </w:r>
    </w:p>
    <w:p w14:paraId="1530A7D6" w14:textId="6F1A2DBF" w:rsidR="007F5B07" w:rsidRPr="007F5B07" w:rsidRDefault="00893DD1" w:rsidP="007F5B07">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IE" w:eastAsia="en-US" w:bidi="en-US"/>
        </w:rPr>
      </w:pPr>
      <w:bookmarkStart w:id="16" w:name="_Toc489276442"/>
      <w:r>
        <w:rPr>
          <w:rFonts w:ascii="Calibri" w:eastAsia="Times New Roman" w:hAnsi="Calibri" w:cs="Times New Roman"/>
          <w:caps/>
          <w:spacing w:val="15"/>
          <w:sz w:val="22"/>
          <w:szCs w:val="22"/>
          <w:lang w:val="en-IE" w:eastAsia="en-US" w:bidi="en-US"/>
        </w:rPr>
        <w:t>4</w:t>
      </w:r>
      <w:r w:rsidR="007F5B07" w:rsidRPr="007F5B07">
        <w:rPr>
          <w:rFonts w:ascii="Calibri" w:eastAsia="Times New Roman" w:hAnsi="Calibri" w:cs="Times New Roman"/>
          <w:caps/>
          <w:spacing w:val="15"/>
          <w:sz w:val="22"/>
          <w:szCs w:val="22"/>
          <w:lang w:val="en-IE" w:eastAsia="en-US" w:bidi="en-US"/>
        </w:rPr>
        <w:t>.1 Testing Tariff A</w:t>
      </w:r>
      <w:bookmarkEnd w:id="16"/>
      <w:r w:rsidR="007F5B07" w:rsidRPr="007F5B07">
        <w:rPr>
          <w:rFonts w:ascii="Calibri" w:eastAsia="Times New Roman" w:hAnsi="Calibri" w:cs="Times New Roman"/>
          <w:caps/>
          <w:spacing w:val="15"/>
          <w:sz w:val="22"/>
          <w:szCs w:val="22"/>
          <w:lang w:val="en-IE" w:eastAsia="en-US" w:bidi="en-US"/>
        </w:rPr>
        <w:t xml:space="preserve"> </w:t>
      </w:r>
    </w:p>
    <w:p w14:paraId="06A38281"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This testing tariff is intended to cover the additional costs to the power system of a GUUT. Tariff A is used in scenarios where additional system reserve is required and there is a high risk of tripping of the generator. This tariff is applied to the commissioning phases of a new unit and units coming back from a significant outage, which are deemed at a high risk of tripping or not following the load profile. The costs associated with this type of testing are the increased reserve, additional reserve constraint costs, increased reserve premium, additional run hours, and costs of tripping. Historical analysis carried out on previously commissioned generators showed that a generator will typically export 30% of its combined phase 1 and phase 2 output while in phase 1 of testing. Therefore, when summing the cost components calculated for phase 1 and phase 2 they were given a weighting of 0.3 and 0.7 respectively. </w:t>
      </w:r>
    </w:p>
    <w:p w14:paraId="49D24676" w14:textId="418DB2CC" w:rsidR="007F5B07" w:rsidRDefault="00D251F5" w:rsidP="007F5B07">
      <w:pPr>
        <w:spacing w:before="200" w:after="200" w:line="276" w:lineRule="auto"/>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 xml:space="preserve">Table </w:t>
      </w:r>
      <w:r w:rsidR="007F5B07" w:rsidRPr="007F5B07">
        <w:rPr>
          <w:rFonts w:ascii="Calibri" w:eastAsia="Times New Roman" w:hAnsi="Calibri" w:cs="Times New Roman"/>
          <w:sz w:val="20"/>
          <w:szCs w:val="20"/>
          <w:lang w:val="en-IE" w:eastAsia="en-US" w:bidi="en-US"/>
        </w:rPr>
        <w:t>1 sets out te</w:t>
      </w:r>
      <w:r>
        <w:rPr>
          <w:rFonts w:ascii="Calibri" w:eastAsia="Times New Roman" w:hAnsi="Calibri" w:cs="Times New Roman"/>
          <w:sz w:val="20"/>
          <w:szCs w:val="20"/>
          <w:lang w:val="en-IE" w:eastAsia="en-US" w:bidi="en-US"/>
        </w:rPr>
        <w:t>sting tariff A schedule for 2017 which shall continue until the implementation of I-SEM in 2018:</w:t>
      </w:r>
    </w:p>
    <w:p w14:paraId="0A891D95" w14:textId="65D8C32F" w:rsidR="00D251F5" w:rsidRPr="007F5B07" w:rsidRDefault="00F77D5C" w:rsidP="00F77D5C">
      <w:pPr>
        <w:spacing w:before="200" w:after="200" w:line="276" w:lineRule="auto"/>
        <w:jc w:val="center"/>
        <w:rPr>
          <w:rFonts w:ascii="Calibri" w:eastAsia="Times New Roman" w:hAnsi="Calibri" w:cs="Times New Roman"/>
          <w:sz w:val="20"/>
          <w:szCs w:val="20"/>
          <w:lang w:val="en-IE" w:eastAsia="en-US" w:bidi="en-US"/>
        </w:rPr>
      </w:pPr>
      <w:r w:rsidRPr="00F50160">
        <w:rPr>
          <w:noProof/>
          <w:lang w:val="en-IE" w:eastAsia="en-IE"/>
        </w:rPr>
        <w:drawing>
          <wp:inline distT="0" distB="0" distL="0" distR="0" wp14:anchorId="47C4E067" wp14:editId="66E1B2B2">
            <wp:extent cx="1708150" cy="24841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0" cy="2484120"/>
                    </a:xfrm>
                    <a:prstGeom prst="rect">
                      <a:avLst/>
                    </a:prstGeom>
                    <a:noFill/>
                    <a:ln>
                      <a:noFill/>
                    </a:ln>
                  </pic:spPr>
                </pic:pic>
              </a:graphicData>
            </a:graphic>
          </wp:inline>
        </w:drawing>
      </w:r>
    </w:p>
    <w:p w14:paraId="089BBE06" w14:textId="7B914A5A" w:rsidR="007F5B07" w:rsidRPr="007F5B07" w:rsidRDefault="00D251F5" w:rsidP="007F5B07">
      <w:pPr>
        <w:spacing w:before="200" w:after="200" w:line="276" w:lineRule="auto"/>
        <w:jc w:val="center"/>
        <w:rPr>
          <w:rFonts w:ascii="Calibri" w:eastAsia="Times New Roman" w:hAnsi="Calibri" w:cs="Times New Roman"/>
          <w:b/>
          <w:sz w:val="16"/>
          <w:szCs w:val="16"/>
          <w:lang w:val="en-IE" w:eastAsia="en-US" w:bidi="en-US"/>
        </w:rPr>
      </w:pPr>
      <w:r>
        <w:rPr>
          <w:rFonts w:ascii="Calibri" w:eastAsia="Times New Roman" w:hAnsi="Calibri" w:cs="Times New Roman"/>
          <w:sz w:val="20"/>
          <w:szCs w:val="20"/>
          <w:lang w:val="en-IE" w:eastAsia="en-US" w:bidi="en-US"/>
        </w:rPr>
        <w:t xml:space="preserve">    </w:t>
      </w:r>
      <w:r w:rsidR="007F5B07" w:rsidRPr="007F5B07">
        <w:rPr>
          <w:rFonts w:ascii="Calibri" w:eastAsia="Times New Roman" w:hAnsi="Calibri" w:cs="Times New Roman"/>
          <w:b/>
          <w:sz w:val="16"/>
          <w:szCs w:val="16"/>
          <w:lang w:val="en-IE" w:eastAsia="en-US" w:bidi="en-US"/>
        </w:rPr>
        <w:t xml:space="preserve"> </w:t>
      </w:r>
      <w:r>
        <w:rPr>
          <w:rFonts w:ascii="Calibri" w:eastAsia="Times New Roman" w:hAnsi="Calibri" w:cs="Times New Roman"/>
          <w:b/>
          <w:sz w:val="16"/>
          <w:szCs w:val="16"/>
          <w:lang w:val="en-IE" w:eastAsia="en-US" w:bidi="en-US"/>
        </w:rPr>
        <w:t xml:space="preserve">Table </w:t>
      </w:r>
      <w:r w:rsidR="007F5B07" w:rsidRPr="007F5B07">
        <w:rPr>
          <w:rFonts w:ascii="Calibri" w:eastAsia="Times New Roman" w:hAnsi="Calibri" w:cs="Times New Roman"/>
          <w:b/>
          <w:sz w:val="16"/>
          <w:szCs w:val="16"/>
          <w:lang w:val="en-IE" w:eastAsia="en-US" w:bidi="en-US"/>
        </w:rPr>
        <w:t xml:space="preserve">1: Testing tariff A </w:t>
      </w:r>
    </w:p>
    <w:p w14:paraId="73EA923A" w14:textId="77777777" w:rsid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p w14:paraId="68C7CD77" w14:textId="59612050" w:rsidR="001770C7" w:rsidRPr="007F5B07" w:rsidRDefault="001770C7" w:rsidP="007F5B07">
      <w:pPr>
        <w:spacing w:before="200" w:after="200" w:line="276" w:lineRule="auto"/>
        <w:jc w:val="both"/>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lastRenderedPageBreak/>
        <w:t>The following factors contribute to the value of testing tariff A:</w:t>
      </w:r>
    </w:p>
    <w:p w14:paraId="5A5AC224" w14:textId="25F8CE4E" w:rsidR="007F5B07" w:rsidRPr="007F5B07" w:rsidRDefault="00893DD1" w:rsidP="007F5B07">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US" w:bidi="en-US"/>
        </w:rPr>
      </w:pPr>
      <w:bookmarkStart w:id="17" w:name="_Toc489276443"/>
      <w:r>
        <w:rPr>
          <w:rFonts w:ascii="Calibri" w:eastAsia="Times New Roman" w:hAnsi="Calibri" w:cs="Times New Roman"/>
          <w:caps/>
          <w:color w:val="243F60"/>
          <w:spacing w:val="15"/>
          <w:sz w:val="22"/>
          <w:szCs w:val="22"/>
          <w:lang w:val="en-IE" w:eastAsia="en-US" w:bidi="en-US"/>
        </w:rPr>
        <w:t>4</w:t>
      </w:r>
      <w:r w:rsidR="007F5B07" w:rsidRPr="007F5B07">
        <w:rPr>
          <w:rFonts w:ascii="Calibri" w:eastAsia="Times New Roman" w:hAnsi="Calibri" w:cs="Times New Roman"/>
          <w:caps/>
          <w:color w:val="243F60"/>
          <w:spacing w:val="15"/>
          <w:sz w:val="22"/>
          <w:szCs w:val="22"/>
          <w:lang w:val="en-IE" w:eastAsia="en-US" w:bidi="en-US"/>
        </w:rPr>
        <w:t>.1.1 Increased Reserve</w:t>
      </w:r>
      <w:bookmarkEnd w:id="17"/>
    </w:p>
    <w:p w14:paraId="66D6CA86"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When the output of the GUUT exceeds the normal operating reserve requirement, the TSOs will increase POR and SOR for system security. </w:t>
      </w:r>
    </w:p>
    <w:p w14:paraId="63E970B1" w14:textId="621BC7BB" w:rsid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Testing tariffs in the SEM are applied on the basis of the registered capacity of the GUUT. To prevent over recovery of testing charges it is necessary to take account of load factors and to apply a load factor adjustment. The load factor adjustment is designed in such a way that the costs recovered over the entire duration of testing will cover the total cost of the increased operating reserve payments to other generators and the additional reserve constraint during that same period. The load factor adjustments were calculated by analysing a sample set of generators that had previously completed commissioning testing in the SEM</w:t>
      </w:r>
      <w:r w:rsidR="003D0F7E">
        <w:rPr>
          <w:rFonts w:ascii="Calibri" w:eastAsia="Times New Roman" w:hAnsi="Calibri" w:cs="Times New Roman"/>
          <w:sz w:val="20"/>
          <w:szCs w:val="20"/>
          <w:lang w:val="en-IE" w:eastAsia="en-US" w:bidi="en-US"/>
        </w:rPr>
        <w:t>.</w:t>
      </w:r>
      <w:r w:rsidRPr="007F5B07">
        <w:rPr>
          <w:rFonts w:ascii="Calibri" w:eastAsia="Times New Roman" w:hAnsi="Calibri" w:cs="Times New Roman"/>
          <w:sz w:val="20"/>
          <w:szCs w:val="20"/>
          <w:lang w:val="en-IE" w:eastAsia="en-US" w:bidi="en-US"/>
        </w:rPr>
        <w:t xml:space="preserve"> </w:t>
      </w:r>
    </w:p>
    <w:p w14:paraId="7BA24994"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p w14:paraId="0D950FD8" w14:textId="538D24CA" w:rsidR="007F5B07" w:rsidRPr="007F5B07" w:rsidRDefault="00893DD1" w:rsidP="007F5B07">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US" w:bidi="en-US"/>
        </w:rPr>
      </w:pPr>
      <w:bookmarkStart w:id="18" w:name="_Toc489276444"/>
      <w:r>
        <w:rPr>
          <w:rFonts w:ascii="Calibri" w:eastAsia="Times New Roman" w:hAnsi="Calibri" w:cs="Times New Roman"/>
          <w:caps/>
          <w:color w:val="243F60"/>
          <w:spacing w:val="15"/>
          <w:sz w:val="22"/>
          <w:szCs w:val="22"/>
          <w:lang w:val="en-IE" w:eastAsia="en-US" w:bidi="en-US"/>
        </w:rPr>
        <w:t>4</w:t>
      </w:r>
      <w:r w:rsidR="007F5B07" w:rsidRPr="007F5B07">
        <w:rPr>
          <w:rFonts w:ascii="Calibri" w:eastAsia="Times New Roman" w:hAnsi="Calibri" w:cs="Times New Roman"/>
          <w:caps/>
          <w:color w:val="243F60"/>
          <w:spacing w:val="15"/>
          <w:sz w:val="22"/>
          <w:szCs w:val="22"/>
          <w:lang w:val="en-IE" w:eastAsia="en-US" w:bidi="en-US"/>
        </w:rPr>
        <w:t>.1.2 Reserve Constraint Cost</w:t>
      </w:r>
      <w:bookmarkEnd w:id="18"/>
    </w:p>
    <w:p w14:paraId="2A8D8745" w14:textId="5ECA4D8A" w:rsidR="007F5B07" w:rsidRDefault="007F5B07" w:rsidP="007F5B07">
      <w:pPr>
        <w:spacing w:before="200" w:after="200" w:line="276" w:lineRule="auto"/>
        <w:jc w:val="both"/>
        <w:rPr>
          <w:rFonts w:ascii="Calibri" w:eastAsia="Times New Roman" w:hAnsi="Calibri" w:cs="Times New Roman"/>
          <w:sz w:val="20"/>
          <w:szCs w:val="20"/>
          <w:lang w:val="en-IE" w:eastAsia="en-GB" w:bidi="en-US"/>
        </w:rPr>
      </w:pPr>
      <w:r w:rsidRPr="007F5B07">
        <w:rPr>
          <w:rFonts w:ascii="Calibri" w:eastAsia="Times New Roman" w:hAnsi="Calibri" w:cs="Times New Roman"/>
          <w:sz w:val="20"/>
          <w:szCs w:val="20"/>
          <w:lang w:val="en-IE" w:eastAsia="en-GB" w:bidi="en-US"/>
        </w:rPr>
        <w:t xml:space="preserve">A GUUT may require extra operating reserve to cover the additional risk of that generator tripping. In order to provide operating reserve, cheap generators are constrained down from their most economic generating level, and more expensive generators are constrained on to meet system demand. </w:t>
      </w:r>
    </w:p>
    <w:p w14:paraId="1501987C"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GB" w:bidi="en-US"/>
        </w:rPr>
      </w:pPr>
    </w:p>
    <w:p w14:paraId="128B2594" w14:textId="23507D52" w:rsidR="007F5B07" w:rsidRPr="007F5B07" w:rsidRDefault="00893DD1" w:rsidP="007F5B07">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GB" w:bidi="en-US"/>
        </w:rPr>
      </w:pPr>
      <w:bookmarkStart w:id="19" w:name="_Toc489276445"/>
      <w:r>
        <w:rPr>
          <w:rFonts w:ascii="Calibri" w:eastAsia="Times New Roman" w:hAnsi="Calibri" w:cs="Times New Roman"/>
          <w:caps/>
          <w:color w:val="243F60"/>
          <w:spacing w:val="15"/>
          <w:sz w:val="22"/>
          <w:szCs w:val="22"/>
          <w:lang w:val="en-IE" w:eastAsia="en-GB" w:bidi="en-US"/>
        </w:rPr>
        <w:t>4</w:t>
      </w:r>
      <w:r w:rsidR="007F5B07" w:rsidRPr="007F5B07">
        <w:rPr>
          <w:rFonts w:ascii="Calibri" w:eastAsia="Times New Roman" w:hAnsi="Calibri" w:cs="Times New Roman"/>
          <w:caps/>
          <w:color w:val="243F60"/>
          <w:spacing w:val="15"/>
          <w:sz w:val="22"/>
          <w:szCs w:val="22"/>
          <w:lang w:val="en-IE" w:eastAsia="en-GB" w:bidi="en-US"/>
        </w:rPr>
        <w:t>.1.3 Reserve Premium</w:t>
      </w:r>
      <w:bookmarkEnd w:id="19"/>
    </w:p>
    <w:p w14:paraId="7F2D6B7D" w14:textId="626D3F30" w:rsid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GB" w:bidi="en-US"/>
        </w:rPr>
        <w:t xml:space="preserve">Generator units on the system receive an ancillary service payment for the availability and provision of operating reserve. The GUUT that is causing an incremental increase in operating reserve should cover the incremental cost of increased operating reserve payments through the testing tariff mechanism. The rates at which operating reserve are paid are set out in </w:t>
      </w:r>
      <w:r w:rsidR="00DB46CB">
        <w:rPr>
          <w:rFonts w:ascii="Calibri" w:eastAsia="Times New Roman" w:hAnsi="Calibri" w:cs="Times New Roman"/>
          <w:sz w:val="20"/>
          <w:szCs w:val="20"/>
          <w:lang w:val="en-IE" w:eastAsia="en-GB" w:bidi="en-US"/>
        </w:rPr>
        <w:t>in the DS3 System Services Interim Tariff Rates 2016/2017</w:t>
      </w:r>
      <w:r w:rsidRPr="007F5B07">
        <w:rPr>
          <w:rFonts w:ascii="Calibri" w:eastAsia="Times New Roman" w:hAnsi="Calibri" w:cs="Times New Roman"/>
          <w:sz w:val="20"/>
          <w:szCs w:val="20"/>
          <w:vertAlign w:val="superscript"/>
          <w:lang w:val="en-IE" w:eastAsia="en-US" w:bidi="en-US"/>
        </w:rPr>
        <w:footnoteReference w:id="9"/>
      </w:r>
      <w:r w:rsidRPr="007F5B07">
        <w:rPr>
          <w:rFonts w:ascii="Calibri" w:eastAsia="Times New Roman" w:hAnsi="Calibri" w:cs="Times New Roman"/>
          <w:sz w:val="20"/>
          <w:szCs w:val="20"/>
          <w:lang w:val="en-IE" w:eastAsia="en-US" w:bidi="en-US"/>
        </w:rPr>
        <w:t xml:space="preserve">. </w:t>
      </w:r>
    </w:p>
    <w:p w14:paraId="79437EA5"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GB" w:bidi="en-US"/>
        </w:rPr>
      </w:pPr>
    </w:p>
    <w:p w14:paraId="0C819A9E" w14:textId="35FA2B2B" w:rsidR="007F5B07" w:rsidRPr="007F5B07" w:rsidRDefault="00893DD1" w:rsidP="007F5B07">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GB" w:bidi="en-US"/>
        </w:rPr>
      </w:pPr>
      <w:bookmarkStart w:id="20" w:name="_Toc489276446"/>
      <w:r>
        <w:rPr>
          <w:rFonts w:ascii="Calibri" w:eastAsia="Times New Roman" w:hAnsi="Calibri" w:cs="Times New Roman"/>
          <w:caps/>
          <w:color w:val="243F60"/>
          <w:spacing w:val="15"/>
          <w:sz w:val="22"/>
          <w:szCs w:val="22"/>
          <w:lang w:val="en-IE" w:eastAsia="en-GB" w:bidi="en-US"/>
        </w:rPr>
        <w:t>4</w:t>
      </w:r>
      <w:r w:rsidR="007F5B07" w:rsidRPr="007F5B07">
        <w:rPr>
          <w:rFonts w:ascii="Calibri" w:eastAsia="Times New Roman" w:hAnsi="Calibri" w:cs="Times New Roman"/>
          <w:caps/>
          <w:color w:val="243F60"/>
          <w:spacing w:val="15"/>
          <w:sz w:val="22"/>
          <w:szCs w:val="22"/>
          <w:lang w:val="en-IE" w:eastAsia="en-GB" w:bidi="en-US"/>
        </w:rPr>
        <w:t>.1.4 Additional Run Hours</w:t>
      </w:r>
      <w:bookmarkEnd w:id="20"/>
    </w:p>
    <w:p w14:paraId="63154AC8"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GB" w:bidi="en-US"/>
        </w:rPr>
      </w:pPr>
      <w:r w:rsidRPr="007F5B07">
        <w:rPr>
          <w:rFonts w:ascii="Calibri" w:eastAsia="Times New Roman" w:hAnsi="Calibri" w:cs="Times New Roman"/>
          <w:sz w:val="20"/>
          <w:szCs w:val="20"/>
          <w:lang w:val="en-IE" w:eastAsia="en-GB" w:bidi="en-US"/>
        </w:rPr>
        <w:t xml:space="preserve">The GUUT can be regarded as unreliable as it may not start or run as scheduled, or it may become unavailable at short notice. To manage the risk to the system that this unreliability poses, the TSO must constrain on additional unit(s) to mitigate the risk of the GUUT becoming unavailable. The additional run hour cost component is intended to represent the cost arising from scheduling this additional generation. </w:t>
      </w:r>
    </w:p>
    <w:p w14:paraId="2D5E8996" w14:textId="77777777" w:rsidR="007F5B07" w:rsidRPr="007F5B07" w:rsidRDefault="007F5B07" w:rsidP="007F5B07">
      <w:pPr>
        <w:spacing w:before="200" w:after="200" w:line="276" w:lineRule="auto"/>
        <w:jc w:val="both"/>
        <w:rPr>
          <w:rFonts w:ascii="Calibri" w:eastAsia="Times New Roman" w:hAnsi="Calibri" w:cs="Times New Roman"/>
          <w:color w:val="FF0000"/>
          <w:sz w:val="20"/>
          <w:szCs w:val="20"/>
          <w:lang w:val="en-IE" w:eastAsia="en-GB" w:bidi="en-US"/>
        </w:rPr>
      </w:pPr>
    </w:p>
    <w:p w14:paraId="0F2D528F" w14:textId="0544440A" w:rsidR="007F5B07" w:rsidRPr="007F5B07" w:rsidRDefault="00893DD1" w:rsidP="007F5B07">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US" w:bidi="en-US"/>
        </w:rPr>
      </w:pPr>
      <w:bookmarkStart w:id="21" w:name="_Toc489276447"/>
      <w:r>
        <w:rPr>
          <w:rFonts w:ascii="Calibri" w:eastAsia="Times New Roman" w:hAnsi="Calibri" w:cs="Times New Roman"/>
          <w:caps/>
          <w:color w:val="243F60"/>
          <w:spacing w:val="15"/>
          <w:sz w:val="22"/>
          <w:szCs w:val="22"/>
          <w:lang w:val="en-IE" w:eastAsia="en-US" w:bidi="en-US"/>
        </w:rPr>
        <w:t>4</w:t>
      </w:r>
      <w:r w:rsidR="007F5B07" w:rsidRPr="007F5B07">
        <w:rPr>
          <w:rFonts w:ascii="Calibri" w:eastAsia="Times New Roman" w:hAnsi="Calibri" w:cs="Times New Roman"/>
          <w:caps/>
          <w:color w:val="243F60"/>
          <w:spacing w:val="15"/>
          <w:sz w:val="22"/>
          <w:szCs w:val="22"/>
          <w:lang w:val="en-IE" w:eastAsia="en-US" w:bidi="en-US"/>
        </w:rPr>
        <w:t>.1.5 Costs of output drops</w:t>
      </w:r>
      <w:r w:rsidR="0077477C">
        <w:rPr>
          <w:rFonts w:ascii="Calibri" w:eastAsia="Times New Roman" w:hAnsi="Calibri" w:cs="Times New Roman"/>
          <w:caps/>
          <w:color w:val="243F60"/>
          <w:spacing w:val="15"/>
          <w:sz w:val="22"/>
          <w:szCs w:val="22"/>
          <w:lang w:val="en-IE" w:eastAsia="en-US" w:bidi="en-US"/>
        </w:rPr>
        <w:t xml:space="preserve"> (including Tripping)</w:t>
      </w:r>
      <w:bookmarkEnd w:id="21"/>
    </w:p>
    <w:p w14:paraId="06C23948" w14:textId="77777777" w:rsidR="00CE5309" w:rsidRDefault="0077477C" w:rsidP="007F5B07">
      <w:pPr>
        <w:spacing w:before="200" w:after="200" w:line="276" w:lineRule="auto"/>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The TSO utilised actual trips from GUUT since 2010.  Rates</w:t>
      </w:r>
      <w:r w:rsidR="008C3EDB">
        <w:rPr>
          <w:rFonts w:ascii="Calibri" w:eastAsia="Times New Roman" w:hAnsi="Calibri" w:cs="Times New Roman"/>
          <w:sz w:val="20"/>
          <w:szCs w:val="20"/>
          <w:lang w:val="en-IE" w:eastAsia="en-US" w:bidi="en-US"/>
        </w:rPr>
        <w:t xml:space="preserve"> were weighted based on actual trips from 2010-2016.  62.4% direct trip, 22% fast wind down and 15.6% slow wind down.  </w:t>
      </w:r>
    </w:p>
    <w:p w14:paraId="2BC060A4" w14:textId="77777777" w:rsidR="00CE5309" w:rsidRDefault="00CE5309" w:rsidP="007F5B07">
      <w:pPr>
        <w:spacing w:before="200" w:after="200" w:line="276" w:lineRule="auto"/>
        <w:rPr>
          <w:rFonts w:ascii="Calibri" w:eastAsia="Times New Roman" w:hAnsi="Calibri" w:cs="Times New Roman"/>
          <w:sz w:val="20"/>
          <w:szCs w:val="20"/>
          <w:lang w:val="en-IE" w:eastAsia="en-US" w:bidi="en-US"/>
        </w:rPr>
      </w:pPr>
    </w:p>
    <w:p w14:paraId="0E48476D" w14:textId="08927D20" w:rsidR="00CE5309" w:rsidRPr="007F5B07" w:rsidRDefault="00893DD1" w:rsidP="00CE5309">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US" w:bidi="en-US"/>
        </w:rPr>
      </w:pPr>
      <w:bookmarkStart w:id="22" w:name="_Toc489276448"/>
      <w:r>
        <w:rPr>
          <w:rFonts w:ascii="Calibri" w:eastAsia="Times New Roman" w:hAnsi="Calibri" w:cs="Times New Roman"/>
          <w:caps/>
          <w:color w:val="243F60"/>
          <w:spacing w:val="15"/>
          <w:sz w:val="22"/>
          <w:szCs w:val="22"/>
          <w:lang w:val="en-IE" w:eastAsia="en-US" w:bidi="en-US"/>
        </w:rPr>
        <w:lastRenderedPageBreak/>
        <w:t>4</w:t>
      </w:r>
      <w:r w:rsidR="00CE5309">
        <w:rPr>
          <w:rFonts w:ascii="Calibri" w:eastAsia="Times New Roman" w:hAnsi="Calibri" w:cs="Times New Roman"/>
          <w:caps/>
          <w:color w:val="243F60"/>
          <w:spacing w:val="15"/>
          <w:sz w:val="22"/>
          <w:szCs w:val="22"/>
          <w:lang w:val="en-IE" w:eastAsia="en-US" w:bidi="en-US"/>
        </w:rPr>
        <w:t>.1.6 Tariff A Cost Components</w:t>
      </w:r>
      <w:bookmarkEnd w:id="22"/>
    </w:p>
    <w:p w14:paraId="1EF67DA7" w14:textId="77777777" w:rsidR="00CE5309" w:rsidRDefault="00CE5309" w:rsidP="00CE5309">
      <w:pPr>
        <w:spacing w:before="200" w:after="200" w:line="276" w:lineRule="auto"/>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 xml:space="preserve">The following table gives a breakdown of the cost components associated with Tariff A.  </w:t>
      </w:r>
      <w:r w:rsidRPr="00CE5309">
        <w:rPr>
          <w:rFonts w:ascii="Calibri" w:eastAsia="Times New Roman" w:hAnsi="Calibri" w:cs="Times New Roman"/>
          <w:sz w:val="20"/>
          <w:szCs w:val="20"/>
          <w:lang w:val="en-IE" w:eastAsia="en-US" w:bidi="en-US"/>
        </w:rPr>
        <w:t>These are reserve premium, reserve constraint cost, additional run hours and cost of tripping.  Additional run hours is the only cost associated with units under test below 150 MW for Tariff A.  Reserve premium and reserve constraint costs are small components of the overall charge for units above 350 MW.  The cost of tripping is included in units above 150 MW.  The additional run hours cost is determined by the unit constrained on by the Plexos model to cover the unit under test.</w:t>
      </w:r>
      <w:r>
        <w:rPr>
          <w:rFonts w:ascii="Calibri" w:eastAsia="Times New Roman" w:hAnsi="Calibri" w:cs="Times New Roman"/>
          <w:sz w:val="20"/>
          <w:szCs w:val="20"/>
          <w:lang w:val="en-IE" w:eastAsia="en-US" w:bidi="en-US"/>
        </w:rPr>
        <w:t xml:space="preserve"> These are the same values as 2017.</w:t>
      </w:r>
    </w:p>
    <w:p w14:paraId="22C03FBD" w14:textId="77777777" w:rsidR="00CE5309" w:rsidRDefault="00CE5309" w:rsidP="00CE5309">
      <w:pPr>
        <w:spacing w:before="200" w:after="200" w:line="276" w:lineRule="auto"/>
        <w:rPr>
          <w:rFonts w:ascii="Calibri" w:eastAsia="Times New Roman" w:hAnsi="Calibri" w:cs="Times New Roman"/>
          <w:sz w:val="20"/>
          <w:szCs w:val="20"/>
          <w:lang w:val="en-IE" w:eastAsia="en-US" w:bidi="en-US"/>
        </w:rPr>
      </w:pPr>
    </w:p>
    <w:tbl>
      <w:tblPr>
        <w:tblW w:w="8866" w:type="dxa"/>
        <w:tblInd w:w="98" w:type="dxa"/>
        <w:tblLook w:val="04A0" w:firstRow="1" w:lastRow="0" w:firstColumn="1" w:lastColumn="0" w:noHBand="0" w:noVBand="1"/>
      </w:tblPr>
      <w:tblGrid>
        <w:gridCol w:w="1372"/>
        <w:gridCol w:w="581"/>
        <w:gridCol w:w="1469"/>
        <w:gridCol w:w="1879"/>
        <w:gridCol w:w="1300"/>
        <w:gridCol w:w="765"/>
        <w:gridCol w:w="700"/>
        <w:gridCol w:w="800"/>
      </w:tblGrid>
      <w:tr w:rsidR="002E1906" w:rsidRPr="002E1906" w14:paraId="6BE227F1" w14:textId="77777777" w:rsidTr="006117E2">
        <w:trPr>
          <w:gridAfter w:val="4"/>
          <w:wAfter w:w="3565" w:type="dxa"/>
          <w:trHeight w:val="300"/>
        </w:trPr>
        <w:tc>
          <w:tcPr>
            <w:tcW w:w="1372" w:type="dxa"/>
            <w:vMerge w:val="restart"/>
            <w:tcBorders>
              <w:top w:val="single" w:sz="8" w:space="0" w:color="auto"/>
              <w:left w:val="single" w:sz="8" w:space="0" w:color="auto"/>
              <w:bottom w:val="single" w:sz="4" w:space="0" w:color="000000"/>
              <w:right w:val="single" w:sz="4" w:space="0" w:color="auto"/>
            </w:tcBorders>
            <w:shd w:val="clear" w:color="000000" w:fill="E4DFEC"/>
            <w:noWrap/>
            <w:vAlign w:val="center"/>
            <w:hideMark/>
          </w:tcPr>
          <w:p w14:paraId="45BB8107" w14:textId="77777777" w:rsidR="002E1906" w:rsidRPr="00F50160" w:rsidRDefault="002E1906" w:rsidP="006117E2">
            <w:pPr>
              <w:rPr>
                <w:rFonts w:ascii="Calibri" w:eastAsia="Times New Roman" w:hAnsi="Calibri" w:cs="Times New Roman"/>
                <w:b/>
                <w:bCs/>
                <w:color w:val="000000"/>
                <w:sz w:val="16"/>
                <w:szCs w:val="20"/>
                <w:lang w:val="en-IE" w:eastAsia="en-IE"/>
              </w:rPr>
            </w:pPr>
            <w:r w:rsidRPr="00F50160">
              <w:rPr>
                <w:rFonts w:ascii="Calibri" w:eastAsia="Times New Roman" w:hAnsi="Calibri" w:cs="Times New Roman"/>
                <w:b/>
                <w:bCs/>
                <w:color w:val="000000"/>
                <w:sz w:val="16"/>
                <w:szCs w:val="20"/>
                <w:lang w:val="en-IE" w:eastAsia="en-IE"/>
              </w:rPr>
              <w:t> </w:t>
            </w:r>
          </w:p>
        </w:tc>
        <w:tc>
          <w:tcPr>
            <w:tcW w:w="581" w:type="dxa"/>
            <w:vMerge w:val="restart"/>
            <w:tcBorders>
              <w:top w:val="single" w:sz="8" w:space="0" w:color="auto"/>
              <w:left w:val="single" w:sz="4" w:space="0" w:color="auto"/>
              <w:bottom w:val="single" w:sz="4" w:space="0" w:color="000000"/>
              <w:right w:val="single" w:sz="4" w:space="0" w:color="auto"/>
            </w:tcBorders>
            <w:shd w:val="clear" w:color="000000" w:fill="E4DFEC"/>
            <w:vAlign w:val="center"/>
            <w:hideMark/>
          </w:tcPr>
          <w:p w14:paraId="4551C794"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MW</w:t>
            </w:r>
          </w:p>
        </w:tc>
        <w:tc>
          <w:tcPr>
            <w:tcW w:w="1469" w:type="dxa"/>
            <w:tcBorders>
              <w:top w:val="single" w:sz="8" w:space="0" w:color="auto"/>
              <w:left w:val="nil"/>
              <w:bottom w:val="single" w:sz="4" w:space="0" w:color="auto"/>
              <w:right w:val="single" w:sz="4" w:space="0" w:color="000000"/>
            </w:tcBorders>
            <w:shd w:val="clear" w:color="000000" w:fill="E6B8B7"/>
            <w:noWrap/>
            <w:vAlign w:val="center"/>
            <w:hideMark/>
          </w:tcPr>
          <w:p w14:paraId="6D625107"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TARIFF A</w:t>
            </w:r>
          </w:p>
        </w:tc>
        <w:tc>
          <w:tcPr>
            <w:tcW w:w="1879" w:type="dxa"/>
            <w:tcBorders>
              <w:top w:val="single" w:sz="8" w:space="0" w:color="auto"/>
              <w:left w:val="nil"/>
              <w:bottom w:val="single" w:sz="4" w:space="0" w:color="auto"/>
              <w:right w:val="single" w:sz="8" w:space="0" w:color="auto"/>
            </w:tcBorders>
            <w:shd w:val="clear" w:color="000000" w:fill="C4D79B"/>
            <w:noWrap/>
            <w:vAlign w:val="center"/>
            <w:hideMark/>
          </w:tcPr>
          <w:p w14:paraId="6FCB78B2"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TARIFF B</w:t>
            </w:r>
          </w:p>
        </w:tc>
      </w:tr>
      <w:tr w:rsidR="002E1906" w:rsidRPr="002E1906" w14:paraId="7ED3520B" w14:textId="77777777" w:rsidTr="006117E2">
        <w:trPr>
          <w:trHeight w:val="510"/>
        </w:trPr>
        <w:tc>
          <w:tcPr>
            <w:tcW w:w="1372" w:type="dxa"/>
            <w:vMerge/>
            <w:tcBorders>
              <w:top w:val="single" w:sz="8" w:space="0" w:color="auto"/>
              <w:left w:val="single" w:sz="8" w:space="0" w:color="auto"/>
              <w:bottom w:val="single" w:sz="4" w:space="0" w:color="000000"/>
              <w:right w:val="single" w:sz="4" w:space="0" w:color="auto"/>
            </w:tcBorders>
            <w:vAlign w:val="center"/>
            <w:hideMark/>
          </w:tcPr>
          <w:p w14:paraId="5E233C50" w14:textId="77777777" w:rsidR="002E1906" w:rsidRPr="002E1906" w:rsidRDefault="002E1906" w:rsidP="002E1906">
            <w:pPr>
              <w:rPr>
                <w:rFonts w:ascii="Calibri" w:eastAsia="Times New Roman" w:hAnsi="Calibri" w:cs="Times New Roman"/>
                <w:b/>
                <w:bCs/>
                <w:color w:val="000000"/>
                <w:sz w:val="16"/>
                <w:szCs w:val="20"/>
                <w:lang w:val="en-IE" w:eastAsia="en-IE"/>
              </w:rPr>
            </w:pPr>
          </w:p>
        </w:tc>
        <w:tc>
          <w:tcPr>
            <w:tcW w:w="581" w:type="dxa"/>
            <w:vMerge/>
            <w:tcBorders>
              <w:top w:val="single" w:sz="8" w:space="0" w:color="auto"/>
              <w:left w:val="single" w:sz="4" w:space="0" w:color="auto"/>
              <w:bottom w:val="single" w:sz="4" w:space="0" w:color="000000"/>
              <w:right w:val="single" w:sz="4" w:space="0" w:color="auto"/>
            </w:tcBorders>
            <w:vAlign w:val="center"/>
            <w:hideMark/>
          </w:tcPr>
          <w:p w14:paraId="08CDBB55" w14:textId="77777777" w:rsidR="002E1906" w:rsidRPr="002E1906" w:rsidRDefault="002E1906" w:rsidP="002E1906">
            <w:pPr>
              <w:rPr>
                <w:rFonts w:ascii="Calibri" w:eastAsia="Times New Roman" w:hAnsi="Calibri" w:cs="Times New Roman"/>
                <w:b/>
                <w:bCs/>
                <w:color w:val="000000"/>
                <w:sz w:val="16"/>
                <w:szCs w:val="20"/>
                <w:lang w:val="en-IE" w:eastAsia="en-IE"/>
              </w:rPr>
            </w:pPr>
          </w:p>
        </w:tc>
        <w:tc>
          <w:tcPr>
            <w:tcW w:w="1469"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57985F6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Reserve Premium</w:t>
            </w:r>
          </w:p>
        </w:tc>
        <w:tc>
          <w:tcPr>
            <w:tcW w:w="1879" w:type="dxa"/>
            <w:tcBorders>
              <w:top w:val="single" w:sz="4" w:space="0" w:color="auto"/>
              <w:left w:val="nil"/>
              <w:bottom w:val="single" w:sz="4" w:space="0" w:color="auto"/>
              <w:right w:val="single" w:sz="4" w:space="0" w:color="auto"/>
            </w:tcBorders>
            <w:shd w:val="clear" w:color="000000" w:fill="E6B8B7"/>
            <w:vAlign w:val="center"/>
            <w:hideMark/>
          </w:tcPr>
          <w:p w14:paraId="0B91D79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Reserve Constraint Cost</w:t>
            </w:r>
          </w:p>
        </w:tc>
        <w:tc>
          <w:tcPr>
            <w:tcW w:w="1300" w:type="dxa"/>
            <w:tcBorders>
              <w:top w:val="single" w:sz="4" w:space="0" w:color="auto"/>
              <w:left w:val="nil"/>
              <w:bottom w:val="single" w:sz="4" w:space="0" w:color="auto"/>
              <w:right w:val="single" w:sz="4" w:space="0" w:color="auto"/>
            </w:tcBorders>
            <w:shd w:val="clear" w:color="000000" w:fill="E6B8B7"/>
            <w:vAlign w:val="center"/>
            <w:hideMark/>
          </w:tcPr>
          <w:p w14:paraId="75090436"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Additional Run Hours</w:t>
            </w:r>
          </w:p>
        </w:tc>
        <w:tc>
          <w:tcPr>
            <w:tcW w:w="765" w:type="dxa"/>
            <w:tcBorders>
              <w:top w:val="single" w:sz="4" w:space="0" w:color="auto"/>
              <w:left w:val="nil"/>
              <w:bottom w:val="single" w:sz="4" w:space="0" w:color="auto"/>
              <w:right w:val="single" w:sz="4" w:space="0" w:color="auto"/>
            </w:tcBorders>
            <w:shd w:val="clear" w:color="000000" w:fill="E6B8B7"/>
            <w:vAlign w:val="center"/>
            <w:hideMark/>
          </w:tcPr>
          <w:p w14:paraId="75F38094"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Tripping</w:t>
            </w:r>
          </w:p>
        </w:tc>
        <w:tc>
          <w:tcPr>
            <w:tcW w:w="700" w:type="dxa"/>
            <w:tcBorders>
              <w:top w:val="single" w:sz="4" w:space="0" w:color="auto"/>
              <w:left w:val="nil"/>
              <w:bottom w:val="single" w:sz="4" w:space="0" w:color="auto"/>
              <w:right w:val="single" w:sz="4" w:space="0" w:color="auto"/>
            </w:tcBorders>
            <w:shd w:val="clear" w:color="000000" w:fill="E6B8B7"/>
            <w:vAlign w:val="center"/>
            <w:hideMark/>
          </w:tcPr>
          <w:p w14:paraId="19989C7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Total Charge</w:t>
            </w:r>
          </w:p>
        </w:tc>
        <w:tc>
          <w:tcPr>
            <w:tcW w:w="800" w:type="dxa"/>
            <w:tcBorders>
              <w:top w:val="nil"/>
              <w:left w:val="single" w:sz="4" w:space="0" w:color="auto"/>
              <w:bottom w:val="single" w:sz="4" w:space="0" w:color="auto"/>
              <w:right w:val="single" w:sz="8" w:space="0" w:color="auto"/>
            </w:tcBorders>
            <w:shd w:val="clear" w:color="000000" w:fill="C4D79B"/>
            <w:vAlign w:val="center"/>
            <w:hideMark/>
          </w:tcPr>
          <w:p w14:paraId="0EB6331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Tripping</w:t>
            </w:r>
          </w:p>
        </w:tc>
      </w:tr>
      <w:tr w:rsidR="002E1906" w:rsidRPr="002E1906" w14:paraId="52C211E2"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0BFF7BE4"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581" w:type="dxa"/>
            <w:tcBorders>
              <w:top w:val="nil"/>
              <w:left w:val="nil"/>
              <w:bottom w:val="single" w:sz="4" w:space="0" w:color="auto"/>
              <w:right w:val="nil"/>
            </w:tcBorders>
            <w:shd w:val="clear" w:color="000000" w:fill="E4DFEC"/>
            <w:noWrap/>
            <w:vAlign w:val="bottom"/>
            <w:hideMark/>
          </w:tcPr>
          <w:p w14:paraId="6340921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3F31B2B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1879" w:type="dxa"/>
            <w:tcBorders>
              <w:top w:val="nil"/>
              <w:left w:val="nil"/>
              <w:bottom w:val="single" w:sz="4" w:space="0" w:color="auto"/>
              <w:right w:val="single" w:sz="4" w:space="0" w:color="auto"/>
            </w:tcBorders>
            <w:shd w:val="clear" w:color="000000" w:fill="E6B8B7"/>
            <w:noWrap/>
            <w:vAlign w:val="center"/>
            <w:hideMark/>
          </w:tcPr>
          <w:p w14:paraId="70A28E1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1300" w:type="dxa"/>
            <w:tcBorders>
              <w:top w:val="nil"/>
              <w:left w:val="nil"/>
              <w:bottom w:val="single" w:sz="4" w:space="0" w:color="auto"/>
              <w:right w:val="single" w:sz="4" w:space="0" w:color="auto"/>
            </w:tcBorders>
            <w:shd w:val="clear" w:color="000000" w:fill="E6B8B7"/>
            <w:noWrap/>
            <w:vAlign w:val="center"/>
            <w:hideMark/>
          </w:tcPr>
          <w:p w14:paraId="2732FB1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765" w:type="dxa"/>
            <w:tcBorders>
              <w:top w:val="nil"/>
              <w:left w:val="nil"/>
              <w:bottom w:val="single" w:sz="4" w:space="0" w:color="auto"/>
              <w:right w:val="single" w:sz="4" w:space="0" w:color="auto"/>
            </w:tcBorders>
            <w:shd w:val="clear" w:color="000000" w:fill="E6B8B7"/>
            <w:noWrap/>
            <w:vAlign w:val="center"/>
            <w:hideMark/>
          </w:tcPr>
          <w:p w14:paraId="69D7E4F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700" w:type="dxa"/>
            <w:tcBorders>
              <w:top w:val="nil"/>
              <w:left w:val="nil"/>
              <w:bottom w:val="single" w:sz="4" w:space="0" w:color="auto"/>
              <w:right w:val="single" w:sz="4" w:space="0" w:color="auto"/>
            </w:tcBorders>
            <w:shd w:val="clear" w:color="000000" w:fill="E6B8B7"/>
            <w:noWrap/>
            <w:vAlign w:val="center"/>
            <w:hideMark/>
          </w:tcPr>
          <w:p w14:paraId="1A78C83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26A63EC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w:t>
            </w:r>
          </w:p>
        </w:tc>
      </w:tr>
      <w:tr w:rsidR="002E1906" w:rsidRPr="002E1906" w14:paraId="742A465F"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7A34E589"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GEN &lt;50</w:t>
            </w:r>
          </w:p>
        </w:tc>
        <w:tc>
          <w:tcPr>
            <w:tcW w:w="581" w:type="dxa"/>
            <w:tcBorders>
              <w:top w:val="nil"/>
              <w:left w:val="nil"/>
              <w:bottom w:val="single" w:sz="4" w:space="0" w:color="auto"/>
              <w:right w:val="nil"/>
            </w:tcBorders>
            <w:shd w:val="clear" w:color="000000" w:fill="E4DFEC"/>
            <w:noWrap/>
            <w:vAlign w:val="center"/>
            <w:hideMark/>
          </w:tcPr>
          <w:p w14:paraId="5A56C23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50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4D648A3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25177DE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1146E968"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6.09 </w:t>
            </w:r>
          </w:p>
        </w:tc>
        <w:tc>
          <w:tcPr>
            <w:tcW w:w="765" w:type="dxa"/>
            <w:tcBorders>
              <w:top w:val="nil"/>
              <w:left w:val="nil"/>
              <w:bottom w:val="single" w:sz="4" w:space="0" w:color="auto"/>
              <w:right w:val="single" w:sz="4" w:space="0" w:color="auto"/>
            </w:tcBorders>
            <w:shd w:val="clear" w:color="000000" w:fill="E6B8B7"/>
            <w:noWrap/>
            <w:vAlign w:val="center"/>
            <w:hideMark/>
          </w:tcPr>
          <w:p w14:paraId="6874FB5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700" w:type="dxa"/>
            <w:tcBorders>
              <w:top w:val="nil"/>
              <w:left w:val="nil"/>
              <w:bottom w:val="single" w:sz="4" w:space="0" w:color="auto"/>
              <w:right w:val="single" w:sz="4" w:space="0" w:color="auto"/>
            </w:tcBorders>
            <w:shd w:val="clear" w:color="000000" w:fill="E6B8B7"/>
            <w:noWrap/>
            <w:vAlign w:val="center"/>
            <w:hideMark/>
          </w:tcPr>
          <w:p w14:paraId="6ADC3504"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€ 6.09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1CEABB9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r>
      <w:tr w:rsidR="002E1906" w:rsidRPr="002E1906" w14:paraId="06072833"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14DA9A28"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50 &lt; GEN ≤100</w:t>
            </w:r>
          </w:p>
        </w:tc>
        <w:tc>
          <w:tcPr>
            <w:tcW w:w="581" w:type="dxa"/>
            <w:tcBorders>
              <w:top w:val="nil"/>
              <w:left w:val="nil"/>
              <w:bottom w:val="single" w:sz="4" w:space="0" w:color="auto"/>
              <w:right w:val="nil"/>
            </w:tcBorders>
            <w:shd w:val="clear" w:color="000000" w:fill="E4DFEC"/>
            <w:noWrap/>
            <w:vAlign w:val="bottom"/>
            <w:hideMark/>
          </w:tcPr>
          <w:p w14:paraId="2158BCBC"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100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644D47B8"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03C54C5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430F628D"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4.74 </w:t>
            </w:r>
          </w:p>
        </w:tc>
        <w:tc>
          <w:tcPr>
            <w:tcW w:w="765" w:type="dxa"/>
            <w:tcBorders>
              <w:top w:val="nil"/>
              <w:left w:val="nil"/>
              <w:bottom w:val="single" w:sz="4" w:space="0" w:color="auto"/>
              <w:right w:val="single" w:sz="4" w:space="0" w:color="auto"/>
            </w:tcBorders>
            <w:shd w:val="clear" w:color="000000" w:fill="E6B8B7"/>
            <w:noWrap/>
            <w:vAlign w:val="center"/>
            <w:hideMark/>
          </w:tcPr>
          <w:p w14:paraId="4044A21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700" w:type="dxa"/>
            <w:tcBorders>
              <w:top w:val="nil"/>
              <w:left w:val="nil"/>
              <w:bottom w:val="single" w:sz="4" w:space="0" w:color="auto"/>
              <w:right w:val="single" w:sz="4" w:space="0" w:color="auto"/>
            </w:tcBorders>
            <w:shd w:val="clear" w:color="000000" w:fill="E6B8B7"/>
            <w:noWrap/>
            <w:vAlign w:val="center"/>
            <w:hideMark/>
          </w:tcPr>
          <w:p w14:paraId="240B81FC"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€ 4.74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68865F6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r>
      <w:tr w:rsidR="002E1906" w:rsidRPr="002E1906" w14:paraId="318D2C1A"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5B9DD2F7"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100 &lt; GEN ≤ 150</w:t>
            </w:r>
          </w:p>
        </w:tc>
        <w:tc>
          <w:tcPr>
            <w:tcW w:w="581" w:type="dxa"/>
            <w:tcBorders>
              <w:top w:val="nil"/>
              <w:left w:val="nil"/>
              <w:bottom w:val="single" w:sz="4" w:space="0" w:color="auto"/>
              <w:right w:val="nil"/>
            </w:tcBorders>
            <w:shd w:val="clear" w:color="000000" w:fill="E4DFEC"/>
            <w:noWrap/>
            <w:vAlign w:val="bottom"/>
            <w:hideMark/>
          </w:tcPr>
          <w:p w14:paraId="50B32E8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150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050D31B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6637E056"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08A6345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5.17 </w:t>
            </w:r>
          </w:p>
        </w:tc>
        <w:tc>
          <w:tcPr>
            <w:tcW w:w="765" w:type="dxa"/>
            <w:tcBorders>
              <w:top w:val="nil"/>
              <w:left w:val="nil"/>
              <w:bottom w:val="single" w:sz="4" w:space="0" w:color="auto"/>
              <w:right w:val="single" w:sz="4" w:space="0" w:color="auto"/>
            </w:tcBorders>
            <w:shd w:val="clear" w:color="000000" w:fill="E6B8B7"/>
            <w:noWrap/>
            <w:vAlign w:val="center"/>
            <w:hideMark/>
          </w:tcPr>
          <w:p w14:paraId="6B319835"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700" w:type="dxa"/>
            <w:tcBorders>
              <w:top w:val="nil"/>
              <w:left w:val="nil"/>
              <w:bottom w:val="single" w:sz="4" w:space="0" w:color="auto"/>
              <w:right w:val="single" w:sz="4" w:space="0" w:color="auto"/>
            </w:tcBorders>
            <w:shd w:val="clear" w:color="000000" w:fill="E6B8B7"/>
            <w:noWrap/>
            <w:vAlign w:val="center"/>
            <w:hideMark/>
          </w:tcPr>
          <w:p w14:paraId="68A91D77"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€ 5.17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3ADC53F2"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r>
      <w:tr w:rsidR="002E1906" w:rsidRPr="002E1906" w14:paraId="2CC906B5"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0FE1BC56"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150 &lt; GEN ≤ 200</w:t>
            </w:r>
          </w:p>
        </w:tc>
        <w:tc>
          <w:tcPr>
            <w:tcW w:w="581" w:type="dxa"/>
            <w:tcBorders>
              <w:top w:val="nil"/>
              <w:left w:val="nil"/>
              <w:bottom w:val="single" w:sz="4" w:space="0" w:color="auto"/>
              <w:right w:val="nil"/>
            </w:tcBorders>
            <w:shd w:val="clear" w:color="000000" w:fill="E4DFEC"/>
            <w:noWrap/>
            <w:vAlign w:val="bottom"/>
            <w:hideMark/>
          </w:tcPr>
          <w:p w14:paraId="6202EF61"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200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25A648A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773E4EDD"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2C645B77"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5.22 </w:t>
            </w:r>
          </w:p>
        </w:tc>
        <w:tc>
          <w:tcPr>
            <w:tcW w:w="765" w:type="dxa"/>
            <w:tcBorders>
              <w:top w:val="nil"/>
              <w:left w:val="nil"/>
              <w:bottom w:val="single" w:sz="4" w:space="0" w:color="auto"/>
              <w:right w:val="single" w:sz="4" w:space="0" w:color="auto"/>
            </w:tcBorders>
            <w:shd w:val="clear" w:color="000000" w:fill="E6B8B7"/>
            <w:noWrap/>
            <w:vAlign w:val="center"/>
            <w:hideMark/>
          </w:tcPr>
          <w:p w14:paraId="21159C5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0.36 </w:t>
            </w:r>
          </w:p>
        </w:tc>
        <w:tc>
          <w:tcPr>
            <w:tcW w:w="700" w:type="dxa"/>
            <w:tcBorders>
              <w:top w:val="nil"/>
              <w:left w:val="nil"/>
              <w:bottom w:val="single" w:sz="4" w:space="0" w:color="auto"/>
              <w:right w:val="single" w:sz="4" w:space="0" w:color="auto"/>
            </w:tcBorders>
            <w:shd w:val="clear" w:color="000000" w:fill="E6B8B7"/>
            <w:noWrap/>
            <w:vAlign w:val="center"/>
            <w:hideMark/>
          </w:tcPr>
          <w:p w14:paraId="551C0468"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€ 5.58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2EE1F036"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0.22 </w:t>
            </w:r>
          </w:p>
        </w:tc>
      </w:tr>
      <w:tr w:rsidR="002E1906" w:rsidRPr="002E1906" w14:paraId="53DA3FFD"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37132559"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200 &lt; GEN ≤ 250</w:t>
            </w:r>
          </w:p>
        </w:tc>
        <w:tc>
          <w:tcPr>
            <w:tcW w:w="581" w:type="dxa"/>
            <w:tcBorders>
              <w:top w:val="nil"/>
              <w:left w:val="nil"/>
              <w:bottom w:val="single" w:sz="4" w:space="0" w:color="auto"/>
              <w:right w:val="nil"/>
            </w:tcBorders>
            <w:shd w:val="clear" w:color="000000" w:fill="E4DFEC"/>
            <w:noWrap/>
            <w:vAlign w:val="bottom"/>
            <w:hideMark/>
          </w:tcPr>
          <w:p w14:paraId="748C87C4"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250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4E41727F"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3FD25B9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040F6C9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5.41 </w:t>
            </w:r>
          </w:p>
        </w:tc>
        <w:tc>
          <w:tcPr>
            <w:tcW w:w="765" w:type="dxa"/>
            <w:tcBorders>
              <w:top w:val="nil"/>
              <w:left w:val="nil"/>
              <w:bottom w:val="single" w:sz="4" w:space="0" w:color="auto"/>
              <w:right w:val="single" w:sz="4" w:space="0" w:color="auto"/>
            </w:tcBorders>
            <w:shd w:val="clear" w:color="000000" w:fill="E6B8B7"/>
            <w:noWrap/>
            <w:vAlign w:val="center"/>
            <w:hideMark/>
          </w:tcPr>
          <w:p w14:paraId="5EC5CF6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0.58 </w:t>
            </w:r>
          </w:p>
        </w:tc>
        <w:tc>
          <w:tcPr>
            <w:tcW w:w="700" w:type="dxa"/>
            <w:tcBorders>
              <w:top w:val="nil"/>
              <w:left w:val="nil"/>
              <w:bottom w:val="single" w:sz="4" w:space="0" w:color="auto"/>
              <w:right w:val="single" w:sz="4" w:space="0" w:color="auto"/>
            </w:tcBorders>
            <w:shd w:val="clear" w:color="000000" w:fill="E6B8B7"/>
            <w:noWrap/>
            <w:vAlign w:val="center"/>
            <w:hideMark/>
          </w:tcPr>
          <w:p w14:paraId="65B331A8"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€ 5.99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2684E88D"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0.36 </w:t>
            </w:r>
          </w:p>
        </w:tc>
      </w:tr>
      <w:tr w:rsidR="002E1906" w:rsidRPr="002E1906" w14:paraId="06060547"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76D5B3C9"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250 &lt; GEN ≤ 300</w:t>
            </w:r>
          </w:p>
        </w:tc>
        <w:tc>
          <w:tcPr>
            <w:tcW w:w="581" w:type="dxa"/>
            <w:tcBorders>
              <w:top w:val="nil"/>
              <w:left w:val="nil"/>
              <w:bottom w:val="single" w:sz="4" w:space="0" w:color="auto"/>
              <w:right w:val="nil"/>
            </w:tcBorders>
            <w:shd w:val="clear" w:color="000000" w:fill="E4DFEC"/>
            <w:noWrap/>
            <w:vAlign w:val="bottom"/>
            <w:hideMark/>
          </w:tcPr>
          <w:p w14:paraId="7F5F0EE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300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7CCC329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40BE00B5"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542DF39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5.39 </w:t>
            </w:r>
          </w:p>
        </w:tc>
        <w:tc>
          <w:tcPr>
            <w:tcW w:w="765" w:type="dxa"/>
            <w:tcBorders>
              <w:top w:val="nil"/>
              <w:left w:val="nil"/>
              <w:bottom w:val="single" w:sz="4" w:space="0" w:color="auto"/>
              <w:right w:val="single" w:sz="4" w:space="0" w:color="auto"/>
            </w:tcBorders>
            <w:shd w:val="clear" w:color="000000" w:fill="E6B8B7"/>
            <w:noWrap/>
            <w:vAlign w:val="center"/>
            <w:hideMark/>
          </w:tcPr>
          <w:p w14:paraId="01E7183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0.94 </w:t>
            </w:r>
          </w:p>
        </w:tc>
        <w:tc>
          <w:tcPr>
            <w:tcW w:w="700" w:type="dxa"/>
            <w:tcBorders>
              <w:top w:val="nil"/>
              <w:left w:val="nil"/>
              <w:bottom w:val="single" w:sz="4" w:space="0" w:color="auto"/>
              <w:right w:val="single" w:sz="4" w:space="0" w:color="auto"/>
            </w:tcBorders>
            <w:shd w:val="clear" w:color="000000" w:fill="E6B8B7"/>
            <w:noWrap/>
            <w:vAlign w:val="center"/>
            <w:hideMark/>
          </w:tcPr>
          <w:p w14:paraId="1999A5F8"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€ 6.33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3680CB5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0.58 </w:t>
            </w:r>
          </w:p>
        </w:tc>
      </w:tr>
      <w:tr w:rsidR="002E1906" w:rsidRPr="002E1906" w14:paraId="6B32DD67"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30053682"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300 &lt; GEN ≤ 350</w:t>
            </w:r>
          </w:p>
        </w:tc>
        <w:tc>
          <w:tcPr>
            <w:tcW w:w="581" w:type="dxa"/>
            <w:tcBorders>
              <w:top w:val="nil"/>
              <w:left w:val="nil"/>
              <w:bottom w:val="single" w:sz="4" w:space="0" w:color="auto"/>
              <w:right w:val="nil"/>
            </w:tcBorders>
            <w:shd w:val="clear" w:color="000000" w:fill="E4DFEC"/>
            <w:noWrap/>
            <w:vAlign w:val="bottom"/>
            <w:hideMark/>
          </w:tcPr>
          <w:p w14:paraId="5308D82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350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1559B347"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879" w:type="dxa"/>
            <w:tcBorders>
              <w:top w:val="nil"/>
              <w:left w:val="nil"/>
              <w:bottom w:val="single" w:sz="4" w:space="0" w:color="auto"/>
              <w:right w:val="single" w:sz="4" w:space="0" w:color="auto"/>
            </w:tcBorders>
            <w:shd w:val="clear" w:color="000000" w:fill="E6B8B7"/>
            <w:noWrap/>
            <w:vAlign w:val="center"/>
            <w:hideMark/>
          </w:tcPr>
          <w:p w14:paraId="2D3F737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   </w:t>
            </w:r>
          </w:p>
        </w:tc>
        <w:tc>
          <w:tcPr>
            <w:tcW w:w="1300" w:type="dxa"/>
            <w:tcBorders>
              <w:top w:val="nil"/>
              <w:left w:val="nil"/>
              <w:bottom w:val="single" w:sz="4" w:space="0" w:color="auto"/>
              <w:right w:val="single" w:sz="4" w:space="0" w:color="auto"/>
            </w:tcBorders>
            <w:shd w:val="clear" w:color="000000" w:fill="E6B8B7"/>
            <w:noWrap/>
            <w:vAlign w:val="center"/>
            <w:hideMark/>
          </w:tcPr>
          <w:p w14:paraId="763DCA23"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4.71 </w:t>
            </w:r>
          </w:p>
        </w:tc>
        <w:tc>
          <w:tcPr>
            <w:tcW w:w="765" w:type="dxa"/>
            <w:tcBorders>
              <w:top w:val="nil"/>
              <w:left w:val="nil"/>
              <w:bottom w:val="single" w:sz="4" w:space="0" w:color="auto"/>
              <w:right w:val="single" w:sz="4" w:space="0" w:color="auto"/>
            </w:tcBorders>
            <w:shd w:val="clear" w:color="000000" w:fill="E6B8B7"/>
            <w:noWrap/>
            <w:vAlign w:val="center"/>
            <w:hideMark/>
          </w:tcPr>
          <w:p w14:paraId="3B80911C"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1.53 </w:t>
            </w:r>
          </w:p>
        </w:tc>
        <w:tc>
          <w:tcPr>
            <w:tcW w:w="700" w:type="dxa"/>
            <w:tcBorders>
              <w:top w:val="nil"/>
              <w:left w:val="nil"/>
              <w:bottom w:val="single" w:sz="4" w:space="0" w:color="auto"/>
              <w:right w:val="single" w:sz="4" w:space="0" w:color="auto"/>
            </w:tcBorders>
            <w:shd w:val="clear" w:color="000000" w:fill="E6B8B7"/>
            <w:noWrap/>
            <w:vAlign w:val="center"/>
            <w:hideMark/>
          </w:tcPr>
          <w:p w14:paraId="4E4BA455"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€ 6.24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46EC1D75"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0.95 </w:t>
            </w:r>
          </w:p>
        </w:tc>
      </w:tr>
      <w:tr w:rsidR="002E1906" w:rsidRPr="002E1906" w14:paraId="6ACCEE37"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1964B8B3"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350 &lt; GEN ≤ 400</w:t>
            </w:r>
          </w:p>
        </w:tc>
        <w:tc>
          <w:tcPr>
            <w:tcW w:w="581" w:type="dxa"/>
            <w:tcBorders>
              <w:top w:val="nil"/>
              <w:left w:val="nil"/>
              <w:bottom w:val="single" w:sz="4" w:space="0" w:color="auto"/>
              <w:right w:val="nil"/>
            </w:tcBorders>
            <w:shd w:val="clear" w:color="000000" w:fill="E4DFEC"/>
            <w:noWrap/>
            <w:vAlign w:val="bottom"/>
            <w:hideMark/>
          </w:tcPr>
          <w:p w14:paraId="480E5D4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400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6A1E4E9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0.05 </w:t>
            </w:r>
          </w:p>
        </w:tc>
        <w:tc>
          <w:tcPr>
            <w:tcW w:w="1879" w:type="dxa"/>
            <w:tcBorders>
              <w:top w:val="nil"/>
              <w:left w:val="nil"/>
              <w:bottom w:val="single" w:sz="4" w:space="0" w:color="auto"/>
              <w:right w:val="single" w:sz="4" w:space="0" w:color="auto"/>
            </w:tcBorders>
            <w:shd w:val="clear" w:color="000000" w:fill="E6B8B7"/>
            <w:noWrap/>
            <w:vAlign w:val="center"/>
            <w:hideMark/>
          </w:tcPr>
          <w:p w14:paraId="27BA5EE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0.11 </w:t>
            </w:r>
          </w:p>
        </w:tc>
        <w:tc>
          <w:tcPr>
            <w:tcW w:w="1300" w:type="dxa"/>
            <w:tcBorders>
              <w:top w:val="nil"/>
              <w:left w:val="nil"/>
              <w:bottom w:val="single" w:sz="4" w:space="0" w:color="auto"/>
              <w:right w:val="single" w:sz="4" w:space="0" w:color="auto"/>
            </w:tcBorders>
            <w:shd w:val="clear" w:color="000000" w:fill="E6B8B7"/>
            <w:noWrap/>
            <w:vAlign w:val="center"/>
            <w:hideMark/>
          </w:tcPr>
          <w:p w14:paraId="33D7D8E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3.35 </w:t>
            </w:r>
          </w:p>
        </w:tc>
        <w:tc>
          <w:tcPr>
            <w:tcW w:w="765" w:type="dxa"/>
            <w:tcBorders>
              <w:top w:val="nil"/>
              <w:left w:val="nil"/>
              <w:bottom w:val="single" w:sz="4" w:space="0" w:color="auto"/>
              <w:right w:val="single" w:sz="4" w:space="0" w:color="auto"/>
            </w:tcBorders>
            <w:shd w:val="clear" w:color="000000" w:fill="E6B8B7"/>
            <w:noWrap/>
            <w:vAlign w:val="center"/>
            <w:hideMark/>
          </w:tcPr>
          <w:p w14:paraId="7AA7E71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2.49 </w:t>
            </w:r>
          </w:p>
        </w:tc>
        <w:tc>
          <w:tcPr>
            <w:tcW w:w="700" w:type="dxa"/>
            <w:tcBorders>
              <w:top w:val="nil"/>
              <w:left w:val="nil"/>
              <w:bottom w:val="single" w:sz="4" w:space="0" w:color="auto"/>
              <w:right w:val="single" w:sz="4" w:space="0" w:color="auto"/>
            </w:tcBorders>
            <w:shd w:val="clear" w:color="000000" w:fill="E6B8B7"/>
            <w:noWrap/>
            <w:vAlign w:val="center"/>
            <w:hideMark/>
          </w:tcPr>
          <w:p w14:paraId="1659FFEE"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€ 5.99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15BC1060"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1.54 </w:t>
            </w:r>
          </w:p>
        </w:tc>
      </w:tr>
      <w:tr w:rsidR="002E1906" w:rsidRPr="002E1906" w14:paraId="372880C7" w14:textId="77777777" w:rsidTr="006117E2">
        <w:trPr>
          <w:trHeight w:val="300"/>
        </w:trPr>
        <w:tc>
          <w:tcPr>
            <w:tcW w:w="1372" w:type="dxa"/>
            <w:tcBorders>
              <w:top w:val="nil"/>
              <w:left w:val="single" w:sz="8" w:space="0" w:color="auto"/>
              <w:bottom w:val="single" w:sz="4" w:space="0" w:color="auto"/>
              <w:right w:val="single" w:sz="4" w:space="0" w:color="auto"/>
            </w:tcBorders>
            <w:shd w:val="clear" w:color="000000" w:fill="E4DFEC"/>
            <w:noWrap/>
            <w:vAlign w:val="bottom"/>
            <w:hideMark/>
          </w:tcPr>
          <w:p w14:paraId="52DBAECA"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400 &lt; GEN ≤ 450</w:t>
            </w:r>
          </w:p>
        </w:tc>
        <w:tc>
          <w:tcPr>
            <w:tcW w:w="581" w:type="dxa"/>
            <w:tcBorders>
              <w:top w:val="nil"/>
              <w:left w:val="nil"/>
              <w:bottom w:val="single" w:sz="4" w:space="0" w:color="auto"/>
              <w:right w:val="nil"/>
            </w:tcBorders>
            <w:shd w:val="clear" w:color="000000" w:fill="E4DFEC"/>
            <w:noWrap/>
            <w:vAlign w:val="bottom"/>
            <w:hideMark/>
          </w:tcPr>
          <w:p w14:paraId="50CD4A22"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450</w:t>
            </w:r>
          </w:p>
        </w:tc>
        <w:tc>
          <w:tcPr>
            <w:tcW w:w="1469" w:type="dxa"/>
            <w:tcBorders>
              <w:top w:val="nil"/>
              <w:left w:val="single" w:sz="4" w:space="0" w:color="auto"/>
              <w:bottom w:val="single" w:sz="4" w:space="0" w:color="auto"/>
              <w:right w:val="single" w:sz="4" w:space="0" w:color="auto"/>
            </w:tcBorders>
            <w:shd w:val="clear" w:color="000000" w:fill="E6B8B7"/>
            <w:noWrap/>
            <w:vAlign w:val="center"/>
            <w:hideMark/>
          </w:tcPr>
          <w:p w14:paraId="6EA1D084"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0.24 </w:t>
            </w:r>
          </w:p>
        </w:tc>
        <w:tc>
          <w:tcPr>
            <w:tcW w:w="1879" w:type="dxa"/>
            <w:tcBorders>
              <w:top w:val="nil"/>
              <w:left w:val="nil"/>
              <w:bottom w:val="single" w:sz="4" w:space="0" w:color="auto"/>
              <w:right w:val="single" w:sz="4" w:space="0" w:color="auto"/>
            </w:tcBorders>
            <w:shd w:val="clear" w:color="000000" w:fill="E6B8B7"/>
            <w:noWrap/>
            <w:vAlign w:val="center"/>
            <w:hideMark/>
          </w:tcPr>
          <w:p w14:paraId="50C953CF"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0.73 </w:t>
            </w:r>
          </w:p>
        </w:tc>
        <w:tc>
          <w:tcPr>
            <w:tcW w:w="1300" w:type="dxa"/>
            <w:tcBorders>
              <w:top w:val="nil"/>
              <w:left w:val="nil"/>
              <w:bottom w:val="single" w:sz="4" w:space="0" w:color="auto"/>
              <w:right w:val="single" w:sz="4" w:space="0" w:color="auto"/>
            </w:tcBorders>
            <w:shd w:val="clear" w:color="000000" w:fill="E6B8B7"/>
            <w:noWrap/>
            <w:vAlign w:val="center"/>
            <w:hideMark/>
          </w:tcPr>
          <w:p w14:paraId="56A10FC7"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1.92 </w:t>
            </w:r>
          </w:p>
        </w:tc>
        <w:tc>
          <w:tcPr>
            <w:tcW w:w="765" w:type="dxa"/>
            <w:tcBorders>
              <w:top w:val="nil"/>
              <w:left w:val="nil"/>
              <w:bottom w:val="single" w:sz="4" w:space="0" w:color="auto"/>
              <w:right w:val="single" w:sz="4" w:space="0" w:color="auto"/>
            </w:tcBorders>
            <w:shd w:val="clear" w:color="000000" w:fill="E6B8B7"/>
            <w:noWrap/>
            <w:vAlign w:val="center"/>
            <w:hideMark/>
          </w:tcPr>
          <w:p w14:paraId="7BE72E7D"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4.05 </w:t>
            </w:r>
          </w:p>
        </w:tc>
        <w:tc>
          <w:tcPr>
            <w:tcW w:w="700" w:type="dxa"/>
            <w:tcBorders>
              <w:top w:val="nil"/>
              <w:left w:val="nil"/>
              <w:bottom w:val="single" w:sz="4" w:space="0" w:color="auto"/>
              <w:right w:val="single" w:sz="4" w:space="0" w:color="auto"/>
            </w:tcBorders>
            <w:shd w:val="clear" w:color="000000" w:fill="E6B8B7"/>
            <w:noWrap/>
            <w:vAlign w:val="center"/>
            <w:hideMark/>
          </w:tcPr>
          <w:p w14:paraId="6EEF7282"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€ 6.92 </w:t>
            </w:r>
          </w:p>
        </w:tc>
        <w:tc>
          <w:tcPr>
            <w:tcW w:w="800" w:type="dxa"/>
            <w:tcBorders>
              <w:top w:val="nil"/>
              <w:left w:val="single" w:sz="4" w:space="0" w:color="auto"/>
              <w:bottom w:val="single" w:sz="4" w:space="0" w:color="auto"/>
              <w:right w:val="single" w:sz="8" w:space="0" w:color="auto"/>
            </w:tcBorders>
            <w:shd w:val="clear" w:color="000000" w:fill="C4D79B"/>
            <w:noWrap/>
            <w:vAlign w:val="center"/>
            <w:hideMark/>
          </w:tcPr>
          <w:p w14:paraId="7308E43A"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2.50 </w:t>
            </w:r>
          </w:p>
        </w:tc>
      </w:tr>
      <w:tr w:rsidR="002E1906" w:rsidRPr="002E1906" w14:paraId="2166D100" w14:textId="77777777" w:rsidTr="006117E2">
        <w:trPr>
          <w:trHeight w:val="315"/>
        </w:trPr>
        <w:tc>
          <w:tcPr>
            <w:tcW w:w="1372" w:type="dxa"/>
            <w:tcBorders>
              <w:top w:val="nil"/>
              <w:left w:val="single" w:sz="8" w:space="0" w:color="auto"/>
              <w:bottom w:val="single" w:sz="8" w:space="0" w:color="auto"/>
              <w:right w:val="single" w:sz="4" w:space="0" w:color="auto"/>
            </w:tcBorders>
            <w:shd w:val="clear" w:color="000000" w:fill="E4DFEC"/>
            <w:noWrap/>
            <w:vAlign w:val="bottom"/>
            <w:hideMark/>
          </w:tcPr>
          <w:p w14:paraId="27E127F0" w14:textId="77777777" w:rsidR="002E1906" w:rsidRPr="002E1906" w:rsidRDefault="002E1906" w:rsidP="002E1906">
            <w:pP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450 &lt; GEN</w:t>
            </w:r>
          </w:p>
        </w:tc>
        <w:tc>
          <w:tcPr>
            <w:tcW w:w="581" w:type="dxa"/>
            <w:tcBorders>
              <w:top w:val="nil"/>
              <w:left w:val="nil"/>
              <w:bottom w:val="single" w:sz="8" w:space="0" w:color="auto"/>
              <w:right w:val="nil"/>
            </w:tcBorders>
            <w:shd w:val="clear" w:color="000000" w:fill="E4DFEC"/>
            <w:noWrap/>
            <w:vAlign w:val="bottom"/>
            <w:hideMark/>
          </w:tcPr>
          <w:p w14:paraId="03C5ED45"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500</w:t>
            </w:r>
          </w:p>
        </w:tc>
        <w:tc>
          <w:tcPr>
            <w:tcW w:w="1469" w:type="dxa"/>
            <w:tcBorders>
              <w:top w:val="single" w:sz="4" w:space="0" w:color="auto"/>
              <w:left w:val="single" w:sz="4" w:space="0" w:color="auto"/>
              <w:bottom w:val="single" w:sz="8" w:space="0" w:color="auto"/>
              <w:right w:val="single" w:sz="4" w:space="0" w:color="auto"/>
            </w:tcBorders>
            <w:shd w:val="clear" w:color="000000" w:fill="E6B8B7"/>
            <w:noWrap/>
            <w:vAlign w:val="center"/>
            <w:hideMark/>
          </w:tcPr>
          <w:p w14:paraId="5B2C23B1"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0.46 </w:t>
            </w:r>
          </w:p>
        </w:tc>
        <w:tc>
          <w:tcPr>
            <w:tcW w:w="1879" w:type="dxa"/>
            <w:tcBorders>
              <w:top w:val="single" w:sz="4" w:space="0" w:color="auto"/>
              <w:left w:val="nil"/>
              <w:bottom w:val="single" w:sz="8" w:space="0" w:color="auto"/>
              <w:right w:val="single" w:sz="4" w:space="0" w:color="auto"/>
            </w:tcBorders>
            <w:shd w:val="clear" w:color="000000" w:fill="E6B8B7"/>
            <w:noWrap/>
            <w:vAlign w:val="center"/>
            <w:hideMark/>
          </w:tcPr>
          <w:p w14:paraId="47621CE9"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1.59 </w:t>
            </w:r>
          </w:p>
        </w:tc>
        <w:tc>
          <w:tcPr>
            <w:tcW w:w="1300" w:type="dxa"/>
            <w:tcBorders>
              <w:top w:val="single" w:sz="4" w:space="0" w:color="auto"/>
              <w:left w:val="nil"/>
              <w:bottom w:val="single" w:sz="8" w:space="0" w:color="auto"/>
              <w:right w:val="single" w:sz="4" w:space="0" w:color="auto"/>
            </w:tcBorders>
            <w:shd w:val="clear" w:color="000000" w:fill="E6B8B7"/>
            <w:noWrap/>
            <w:vAlign w:val="center"/>
            <w:hideMark/>
          </w:tcPr>
          <w:p w14:paraId="19FBE7C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0.72 </w:t>
            </w:r>
          </w:p>
        </w:tc>
        <w:tc>
          <w:tcPr>
            <w:tcW w:w="765" w:type="dxa"/>
            <w:tcBorders>
              <w:top w:val="single" w:sz="4" w:space="0" w:color="auto"/>
              <w:left w:val="nil"/>
              <w:bottom w:val="single" w:sz="8" w:space="0" w:color="auto"/>
              <w:right w:val="single" w:sz="4" w:space="0" w:color="auto"/>
            </w:tcBorders>
            <w:shd w:val="clear" w:color="000000" w:fill="E6B8B7"/>
            <w:noWrap/>
            <w:vAlign w:val="center"/>
            <w:hideMark/>
          </w:tcPr>
          <w:p w14:paraId="6FF825B8"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6.59 </w:t>
            </w:r>
          </w:p>
        </w:tc>
        <w:tc>
          <w:tcPr>
            <w:tcW w:w="700" w:type="dxa"/>
            <w:tcBorders>
              <w:top w:val="single" w:sz="4" w:space="0" w:color="auto"/>
              <w:left w:val="nil"/>
              <w:bottom w:val="single" w:sz="8" w:space="0" w:color="auto"/>
              <w:right w:val="single" w:sz="4" w:space="0" w:color="auto"/>
            </w:tcBorders>
            <w:shd w:val="clear" w:color="000000" w:fill="E6B8B7"/>
            <w:noWrap/>
            <w:vAlign w:val="center"/>
            <w:hideMark/>
          </w:tcPr>
          <w:p w14:paraId="1DCBEEEB"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€ 9.34 </w:t>
            </w:r>
          </w:p>
        </w:tc>
        <w:tc>
          <w:tcPr>
            <w:tcW w:w="800" w:type="dxa"/>
            <w:tcBorders>
              <w:top w:val="nil"/>
              <w:left w:val="single" w:sz="4" w:space="0" w:color="auto"/>
              <w:bottom w:val="single" w:sz="8" w:space="0" w:color="auto"/>
              <w:right w:val="single" w:sz="8" w:space="0" w:color="auto"/>
            </w:tcBorders>
            <w:shd w:val="clear" w:color="000000" w:fill="C4D79B"/>
            <w:noWrap/>
            <w:vAlign w:val="center"/>
            <w:hideMark/>
          </w:tcPr>
          <w:p w14:paraId="33997694" w14:textId="77777777" w:rsidR="002E1906" w:rsidRPr="002E1906" w:rsidRDefault="002E1906" w:rsidP="002E1906">
            <w:pPr>
              <w:jc w:val="center"/>
              <w:rPr>
                <w:rFonts w:ascii="Calibri" w:eastAsia="Times New Roman" w:hAnsi="Calibri" w:cs="Times New Roman"/>
                <w:b/>
                <w:bCs/>
                <w:color w:val="000000"/>
                <w:sz w:val="16"/>
                <w:szCs w:val="20"/>
                <w:lang w:val="en-IE" w:eastAsia="en-IE"/>
              </w:rPr>
            </w:pPr>
            <w:r w:rsidRPr="002E1906">
              <w:rPr>
                <w:rFonts w:ascii="Calibri" w:eastAsia="Times New Roman" w:hAnsi="Calibri" w:cs="Times New Roman"/>
                <w:b/>
                <w:bCs/>
                <w:color w:val="000000"/>
                <w:sz w:val="16"/>
                <w:szCs w:val="20"/>
                <w:lang w:val="en-IE" w:eastAsia="en-IE"/>
              </w:rPr>
              <w:t xml:space="preserve"> €   4.07 </w:t>
            </w:r>
          </w:p>
        </w:tc>
      </w:tr>
    </w:tbl>
    <w:p w14:paraId="27A94F35" w14:textId="0445DCD5" w:rsidR="00CE5309" w:rsidRDefault="00CE5309" w:rsidP="00CE5309">
      <w:pPr>
        <w:spacing w:before="200" w:after="200" w:line="276" w:lineRule="auto"/>
        <w:jc w:val="center"/>
        <w:rPr>
          <w:rFonts w:ascii="Calibri" w:eastAsia="Times New Roman" w:hAnsi="Calibri" w:cs="Times New Roman"/>
          <w:b/>
          <w:sz w:val="16"/>
          <w:szCs w:val="16"/>
          <w:lang w:val="en-IE" w:eastAsia="en-US" w:bidi="en-US"/>
        </w:rPr>
      </w:pPr>
      <w:r>
        <w:rPr>
          <w:rFonts w:ascii="Calibri" w:eastAsia="Times New Roman" w:hAnsi="Calibri" w:cs="Times New Roman"/>
          <w:b/>
          <w:sz w:val="16"/>
          <w:szCs w:val="16"/>
          <w:lang w:val="en-IE" w:eastAsia="en-US" w:bidi="en-US"/>
        </w:rPr>
        <w:t>Table 2: Testing Tariff Cost Components</w:t>
      </w:r>
    </w:p>
    <w:p w14:paraId="07359340" w14:textId="77777777" w:rsidR="00CE5309" w:rsidRPr="007F5B07" w:rsidRDefault="00CE5309" w:rsidP="00CE5309">
      <w:pPr>
        <w:spacing w:before="200" w:after="200" w:line="276" w:lineRule="auto"/>
        <w:jc w:val="center"/>
        <w:rPr>
          <w:rFonts w:ascii="Calibri" w:eastAsia="Times New Roman" w:hAnsi="Calibri" w:cs="Times New Roman"/>
          <w:sz w:val="20"/>
          <w:szCs w:val="20"/>
          <w:lang w:val="en-IE" w:eastAsia="en-US" w:bidi="en-US"/>
        </w:rPr>
      </w:pPr>
    </w:p>
    <w:p w14:paraId="193A3BB9" w14:textId="1C920579" w:rsidR="007F5B07" w:rsidRPr="007F5B07" w:rsidRDefault="00893DD1" w:rsidP="007F5B07">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IE" w:eastAsia="en-US" w:bidi="en-US"/>
        </w:rPr>
      </w:pPr>
      <w:bookmarkStart w:id="23" w:name="_Toc489276449"/>
      <w:r>
        <w:rPr>
          <w:rFonts w:ascii="Calibri" w:eastAsia="Times New Roman" w:hAnsi="Calibri" w:cs="Times New Roman"/>
          <w:caps/>
          <w:spacing w:val="15"/>
          <w:sz w:val="22"/>
          <w:szCs w:val="22"/>
          <w:lang w:val="en-IE" w:eastAsia="en-US" w:bidi="en-US"/>
        </w:rPr>
        <w:t>4</w:t>
      </w:r>
      <w:r w:rsidR="007F5B07" w:rsidRPr="007F5B07">
        <w:rPr>
          <w:rFonts w:ascii="Calibri" w:eastAsia="Times New Roman" w:hAnsi="Calibri" w:cs="Times New Roman"/>
          <w:caps/>
          <w:spacing w:val="15"/>
          <w:sz w:val="22"/>
          <w:szCs w:val="22"/>
          <w:lang w:val="en-IE" w:eastAsia="en-US" w:bidi="en-US"/>
        </w:rPr>
        <w:t>.2 Testing Tariff B</w:t>
      </w:r>
      <w:bookmarkEnd w:id="23"/>
    </w:p>
    <w:p w14:paraId="6A11F47B"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r w:rsidRPr="007F5B07">
        <w:rPr>
          <w:rFonts w:ascii="Calibri" w:eastAsia="Times New Roman" w:hAnsi="Calibri" w:cs="Times New Roman"/>
          <w:sz w:val="20"/>
          <w:szCs w:val="20"/>
          <w:lang w:val="en-IE" w:eastAsia="en-US" w:bidi="en-US"/>
        </w:rPr>
        <w:t xml:space="preserve">This testing tariff is intended to cover the costs when a unit enters phase 3 of testing, either upon completion of phases 1 and 2 of testing or when an existing operational unit is granted GUUT status in SEM. The cost associated with this type of testing is the cost of tripping. </w:t>
      </w:r>
    </w:p>
    <w:p w14:paraId="4DDD0F70" w14:textId="677F4E78" w:rsidR="007F5B07" w:rsidRDefault="0013336C" w:rsidP="007F5B07">
      <w:pPr>
        <w:spacing w:before="200" w:after="200" w:line="276" w:lineRule="auto"/>
        <w:jc w:val="both"/>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Table 3</w:t>
      </w:r>
      <w:r w:rsidR="007F5B07" w:rsidRPr="007F5B07">
        <w:rPr>
          <w:rFonts w:ascii="Calibri" w:eastAsia="Times New Roman" w:hAnsi="Calibri" w:cs="Times New Roman"/>
          <w:sz w:val="20"/>
          <w:szCs w:val="20"/>
          <w:lang w:val="en-IE" w:eastAsia="en-US" w:bidi="en-US"/>
        </w:rPr>
        <w:t xml:space="preserve"> sets out testing tariff B schedule for </w:t>
      </w:r>
      <w:r w:rsidR="00760456">
        <w:rPr>
          <w:rFonts w:ascii="Calibri" w:eastAsia="Times New Roman" w:hAnsi="Calibri" w:cs="Times New Roman"/>
          <w:sz w:val="20"/>
          <w:szCs w:val="20"/>
          <w:lang w:val="en-IE" w:eastAsia="en-US" w:bidi="en-US"/>
        </w:rPr>
        <w:t>2018 which is unchanged from 2017</w:t>
      </w:r>
      <w:r w:rsidR="007F5B07" w:rsidRPr="007F5B07">
        <w:rPr>
          <w:rFonts w:ascii="Calibri" w:eastAsia="Times New Roman" w:hAnsi="Calibri" w:cs="Times New Roman"/>
          <w:sz w:val="20"/>
          <w:szCs w:val="20"/>
          <w:lang w:val="en-IE" w:eastAsia="en-US" w:bidi="en-US"/>
        </w:rPr>
        <w:t>:</w:t>
      </w:r>
    </w:p>
    <w:p w14:paraId="5D634B2B" w14:textId="77777777" w:rsidR="00702C51" w:rsidRDefault="00702C51" w:rsidP="007F5B07">
      <w:pPr>
        <w:spacing w:before="200" w:after="200" w:line="276" w:lineRule="auto"/>
        <w:jc w:val="both"/>
        <w:rPr>
          <w:rFonts w:ascii="Calibri" w:eastAsia="Times New Roman" w:hAnsi="Calibri" w:cs="Times New Roman"/>
          <w:sz w:val="20"/>
          <w:szCs w:val="20"/>
          <w:lang w:val="en-IE" w:eastAsia="en-US" w:bidi="en-US"/>
        </w:rPr>
      </w:pPr>
    </w:p>
    <w:p w14:paraId="6843983F" w14:textId="77777777" w:rsidR="00702C51" w:rsidRDefault="00702C51">
      <w:pPr>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br w:type="page"/>
      </w:r>
    </w:p>
    <w:tbl>
      <w:tblPr>
        <w:tblW w:w="3064" w:type="dxa"/>
        <w:jc w:val="center"/>
        <w:tblInd w:w="103" w:type="dxa"/>
        <w:tblLook w:val="04A0" w:firstRow="1" w:lastRow="0" w:firstColumn="1" w:lastColumn="0" w:noHBand="0" w:noVBand="1"/>
      </w:tblPr>
      <w:tblGrid>
        <w:gridCol w:w="1560"/>
        <w:gridCol w:w="590"/>
        <w:gridCol w:w="914"/>
      </w:tblGrid>
      <w:tr w:rsidR="00702C51" w:rsidRPr="00702C51" w14:paraId="5D9BD5CA" w14:textId="77777777" w:rsidTr="006117E2">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5ED67B65" w14:textId="77777777" w:rsidR="00702C51" w:rsidRPr="00F50160" w:rsidRDefault="00702C51" w:rsidP="006117E2">
            <w:pPr>
              <w:rPr>
                <w:rFonts w:ascii="Arial" w:eastAsia="Times New Roman" w:hAnsi="Arial" w:cs="Arial"/>
                <w:b/>
                <w:bCs/>
                <w:color w:val="000000"/>
                <w:sz w:val="16"/>
                <w:szCs w:val="16"/>
                <w:lang w:val="en-IE" w:eastAsia="en-IE"/>
              </w:rPr>
            </w:pPr>
            <w:r w:rsidRPr="00F50160">
              <w:rPr>
                <w:rFonts w:ascii="Arial" w:eastAsia="Times New Roman" w:hAnsi="Arial" w:cs="Arial"/>
                <w:b/>
                <w:bCs/>
                <w:color w:val="000000"/>
                <w:sz w:val="16"/>
                <w:szCs w:val="16"/>
                <w:lang w:val="en-IE" w:eastAsia="en-IE"/>
              </w:rPr>
              <w:lastRenderedPageBreak/>
              <w:t>Tariff B</w:t>
            </w:r>
          </w:p>
        </w:tc>
        <w:tc>
          <w:tcPr>
            <w:tcW w:w="590" w:type="dxa"/>
            <w:tcBorders>
              <w:top w:val="single" w:sz="4" w:space="0" w:color="auto"/>
              <w:left w:val="nil"/>
              <w:bottom w:val="single" w:sz="4" w:space="0" w:color="auto"/>
              <w:right w:val="single" w:sz="4" w:space="0" w:color="auto"/>
            </w:tcBorders>
            <w:shd w:val="clear" w:color="000000" w:fill="B8CCE4"/>
            <w:noWrap/>
            <w:vAlign w:val="bottom"/>
            <w:hideMark/>
          </w:tcPr>
          <w:p w14:paraId="6548BF4F" w14:textId="77777777" w:rsidR="00702C51" w:rsidRPr="00702C51" w:rsidRDefault="00702C51" w:rsidP="00702C51">
            <w:pPr>
              <w:rPr>
                <w:rFonts w:ascii="Calibri" w:eastAsia="Times New Roman" w:hAnsi="Calibri" w:cs="Times New Roman"/>
                <w:color w:val="000000"/>
                <w:sz w:val="16"/>
                <w:szCs w:val="16"/>
                <w:lang w:val="en-IE" w:eastAsia="en-IE"/>
              </w:rPr>
            </w:pPr>
            <w:r w:rsidRPr="00702C51">
              <w:rPr>
                <w:rFonts w:ascii="Calibri" w:eastAsia="Times New Roman" w:hAnsi="Calibri" w:cs="Times New Roman"/>
                <w:color w:val="000000"/>
                <w:sz w:val="16"/>
                <w:szCs w:val="16"/>
                <w:lang w:val="en-IE" w:eastAsia="en-IE"/>
              </w:rPr>
              <w:t> </w:t>
            </w:r>
          </w:p>
        </w:tc>
        <w:tc>
          <w:tcPr>
            <w:tcW w:w="914" w:type="dxa"/>
            <w:tcBorders>
              <w:top w:val="single" w:sz="4" w:space="0" w:color="auto"/>
              <w:left w:val="nil"/>
              <w:bottom w:val="single" w:sz="4" w:space="0" w:color="auto"/>
              <w:right w:val="single" w:sz="4" w:space="0" w:color="auto"/>
            </w:tcBorders>
            <w:shd w:val="clear" w:color="000000" w:fill="B8CCE4"/>
            <w:noWrap/>
            <w:vAlign w:val="bottom"/>
            <w:hideMark/>
          </w:tcPr>
          <w:p w14:paraId="32E02FF0" w14:textId="77777777" w:rsidR="00702C51" w:rsidRPr="00702C51" w:rsidRDefault="00702C51" w:rsidP="00702C51">
            <w:pPr>
              <w:jc w:val="center"/>
              <w:rPr>
                <w:rFonts w:ascii="Calibri" w:eastAsia="Times New Roman" w:hAnsi="Calibri" w:cs="Times New Roman"/>
                <w:b/>
                <w:bCs/>
                <w:color w:val="000000"/>
                <w:sz w:val="16"/>
                <w:szCs w:val="16"/>
                <w:lang w:val="en-IE" w:eastAsia="en-IE"/>
              </w:rPr>
            </w:pPr>
            <w:r w:rsidRPr="00702C51">
              <w:rPr>
                <w:rFonts w:ascii="Calibri" w:eastAsia="Times New Roman" w:hAnsi="Calibri" w:cs="Times New Roman"/>
                <w:b/>
                <w:bCs/>
                <w:color w:val="000000"/>
                <w:sz w:val="16"/>
                <w:szCs w:val="16"/>
                <w:lang w:val="en-IE" w:eastAsia="en-IE"/>
              </w:rPr>
              <w:t>2017</w:t>
            </w:r>
          </w:p>
        </w:tc>
      </w:tr>
      <w:tr w:rsidR="00702C51" w:rsidRPr="00702C51" w14:paraId="0658714F"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vAlign w:val="bottom"/>
            <w:hideMark/>
          </w:tcPr>
          <w:p w14:paraId="3E658ACA"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Generator Output</w:t>
            </w:r>
          </w:p>
        </w:tc>
        <w:tc>
          <w:tcPr>
            <w:tcW w:w="590" w:type="dxa"/>
            <w:tcBorders>
              <w:top w:val="nil"/>
              <w:left w:val="nil"/>
              <w:bottom w:val="single" w:sz="4" w:space="0" w:color="auto"/>
              <w:right w:val="single" w:sz="4" w:space="0" w:color="auto"/>
            </w:tcBorders>
            <w:shd w:val="clear" w:color="000000" w:fill="B8CCE4"/>
            <w:vAlign w:val="bottom"/>
            <w:hideMark/>
          </w:tcPr>
          <w:p w14:paraId="588A2A25"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MW</w:t>
            </w:r>
          </w:p>
        </w:tc>
        <w:tc>
          <w:tcPr>
            <w:tcW w:w="914" w:type="dxa"/>
            <w:tcBorders>
              <w:top w:val="nil"/>
              <w:left w:val="nil"/>
              <w:bottom w:val="single" w:sz="4" w:space="0" w:color="auto"/>
              <w:right w:val="single" w:sz="4" w:space="0" w:color="auto"/>
            </w:tcBorders>
            <w:shd w:val="clear" w:color="000000" w:fill="B8CCE4"/>
            <w:vAlign w:val="bottom"/>
            <w:hideMark/>
          </w:tcPr>
          <w:p w14:paraId="477FA136"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Charge</w:t>
            </w:r>
          </w:p>
        </w:tc>
      </w:tr>
      <w:tr w:rsidR="00702C51" w:rsidRPr="00702C51" w14:paraId="5FF7873D"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09FF8B44"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w:t>
            </w:r>
          </w:p>
        </w:tc>
        <w:tc>
          <w:tcPr>
            <w:tcW w:w="590" w:type="dxa"/>
            <w:tcBorders>
              <w:top w:val="nil"/>
              <w:left w:val="nil"/>
              <w:bottom w:val="single" w:sz="4" w:space="0" w:color="auto"/>
              <w:right w:val="single" w:sz="4" w:space="0" w:color="auto"/>
            </w:tcBorders>
            <w:shd w:val="clear" w:color="000000" w:fill="B8CCE4"/>
            <w:noWrap/>
            <w:vAlign w:val="bottom"/>
            <w:hideMark/>
          </w:tcPr>
          <w:p w14:paraId="2B8E5F95"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w:t>
            </w:r>
          </w:p>
        </w:tc>
        <w:tc>
          <w:tcPr>
            <w:tcW w:w="914" w:type="dxa"/>
            <w:tcBorders>
              <w:top w:val="nil"/>
              <w:left w:val="nil"/>
              <w:bottom w:val="single" w:sz="4" w:space="0" w:color="auto"/>
              <w:right w:val="single" w:sz="4" w:space="0" w:color="auto"/>
            </w:tcBorders>
            <w:shd w:val="clear" w:color="000000" w:fill="B8CCE4"/>
            <w:noWrap/>
            <w:vAlign w:val="bottom"/>
            <w:hideMark/>
          </w:tcPr>
          <w:p w14:paraId="0FF5B398"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w:t>
            </w:r>
          </w:p>
        </w:tc>
      </w:tr>
      <w:tr w:rsidR="00702C51" w:rsidRPr="00702C51" w14:paraId="38521053"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360C11C4"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GEN &lt;50</w:t>
            </w:r>
          </w:p>
        </w:tc>
        <w:tc>
          <w:tcPr>
            <w:tcW w:w="590" w:type="dxa"/>
            <w:tcBorders>
              <w:top w:val="nil"/>
              <w:left w:val="nil"/>
              <w:bottom w:val="single" w:sz="4" w:space="0" w:color="auto"/>
              <w:right w:val="single" w:sz="4" w:space="0" w:color="auto"/>
            </w:tcBorders>
            <w:shd w:val="clear" w:color="000000" w:fill="B8CCE4"/>
            <w:noWrap/>
            <w:vAlign w:val="center"/>
            <w:hideMark/>
          </w:tcPr>
          <w:p w14:paraId="0812678B"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50</w:t>
            </w:r>
          </w:p>
        </w:tc>
        <w:tc>
          <w:tcPr>
            <w:tcW w:w="914" w:type="dxa"/>
            <w:tcBorders>
              <w:top w:val="nil"/>
              <w:left w:val="nil"/>
              <w:bottom w:val="single" w:sz="4" w:space="0" w:color="auto"/>
              <w:right w:val="single" w:sz="4" w:space="0" w:color="auto"/>
            </w:tcBorders>
            <w:shd w:val="clear" w:color="000000" w:fill="B8CCE4"/>
            <w:noWrap/>
            <w:vAlign w:val="bottom"/>
            <w:hideMark/>
          </w:tcPr>
          <w:p w14:paraId="451B0315"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   </w:t>
            </w:r>
          </w:p>
        </w:tc>
      </w:tr>
      <w:tr w:rsidR="00702C51" w:rsidRPr="00702C51" w14:paraId="4DDDF269"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3F4915DF"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50 &lt; GEN ≤100</w:t>
            </w:r>
          </w:p>
        </w:tc>
        <w:tc>
          <w:tcPr>
            <w:tcW w:w="590" w:type="dxa"/>
            <w:tcBorders>
              <w:top w:val="nil"/>
              <w:left w:val="nil"/>
              <w:bottom w:val="single" w:sz="4" w:space="0" w:color="auto"/>
              <w:right w:val="single" w:sz="4" w:space="0" w:color="auto"/>
            </w:tcBorders>
            <w:shd w:val="clear" w:color="000000" w:fill="B8CCE4"/>
            <w:noWrap/>
            <w:vAlign w:val="bottom"/>
            <w:hideMark/>
          </w:tcPr>
          <w:p w14:paraId="71D8DE0E"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100</w:t>
            </w:r>
          </w:p>
        </w:tc>
        <w:tc>
          <w:tcPr>
            <w:tcW w:w="914" w:type="dxa"/>
            <w:tcBorders>
              <w:top w:val="nil"/>
              <w:left w:val="nil"/>
              <w:bottom w:val="single" w:sz="4" w:space="0" w:color="auto"/>
              <w:right w:val="single" w:sz="4" w:space="0" w:color="auto"/>
            </w:tcBorders>
            <w:shd w:val="clear" w:color="000000" w:fill="B8CCE4"/>
            <w:noWrap/>
            <w:vAlign w:val="bottom"/>
            <w:hideMark/>
          </w:tcPr>
          <w:p w14:paraId="27CBBB52"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   </w:t>
            </w:r>
          </w:p>
        </w:tc>
      </w:tr>
      <w:tr w:rsidR="00702C51" w:rsidRPr="00702C51" w14:paraId="26968A79"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56A973C5"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100 &lt; GEN ≤ 150</w:t>
            </w:r>
          </w:p>
        </w:tc>
        <w:tc>
          <w:tcPr>
            <w:tcW w:w="590" w:type="dxa"/>
            <w:tcBorders>
              <w:top w:val="nil"/>
              <w:left w:val="nil"/>
              <w:bottom w:val="single" w:sz="4" w:space="0" w:color="auto"/>
              <w:right w:val="single" w:sz="4" w:space="0" w:color="auto"/>
            </w:tcBorders>
            <w:shd w:val="clear" w:color="000000" w:fill="B8CCE4"/>
            <w:noWrap/>
            <w:vAlign w:val="bottom"/>
            <w:hideMark/>
          </w:tcPr>
          <w:p w14:paraId="3DCB2D4D"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150</w:t>
            </w:r>
          </w:p>
        </w:tc>
        <w:tc>
          <w:tcPr>
            <w:tcW w:w="914" w:type="dxa"/>
            <w:tcBorders>
              <w:top w:val="nil"/>
              <w:left w:val="nil"/>
              <w:bottom w:val="single" w:sz="4" w:space="0" w:color="auto"/>
              <w:right w:val="single" w:sz="4" w:space="0" w:color="auto"/>
            </w:tcBorders>
            <w:shd w:val="clear" w:color="000000" w:fill="B8CCE4"/>
            <w:noWrap/>
            <w:vAlign w:val="bottom"/>
            <w:hideMark/>
          </w:tcPr>
          <w:p w14:paraId="3695A98E"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   </w:t>
            </w:r>
          </w:p>
        </w:tc>
      </w:tr>
      <w:tr w:rsidR="00702C51" w:rsidRPr="00702C51" w14:paraId="535E368E"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784B0E48"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150 &lt; GEN ≤ 200</w:t>
            </w:r>
          </w:p>
        </w:tc>
        <w:tc>
          <w:tcPr>
            <w:tcW w:w="590" w:type="dxa"/>
            <w:tcBorders>
              <w:top w:val="nil"/>
              <w:left w:val="nil"/>
              <w:bottom w:val="single" w:sz="4" w:space="0" w:color="auto"/>
              <w:right w:val="single" w:sz="4" w:space="0" w:color="auto"/>
            </w:tcBorders>
            <w:shd w:val="clear" w:color="000000" w:fill="B8CCE4"/>
            <w:noWrap/>
            <w:vAlign w:val="bottom"/>
            <w:hideMark/>
          </w:tcPr>
          <w:p w14:paraId="726FE78D"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200</w:t>
            </w:r>
          </w:p>
        </w:tc>
        <w:tc>
          <w:tcPr>
            <w:tcW w:w="914" w:type="dxa"/>
            <w:tcBorders>
              <w:top w:val="nil"/>
              <w:left w:val="nil"/>
              <w:bottom w:val="single" w:sz="4" w:space="0" w:color="auto"/>
              <w:right w:val="single" w:sz="4" w:space="0" w:color="auto"/>
            </w:tcBorders>
            <w:shd w:val="clear" w:color="000000" w:fill="B8CCE4"/>
            <w:noWrap/>
            <w:vAlign w:val="bottom"/>
            <w:hideMark/>
          </w:tcPr>
          <w:p w14:paraId="4A12EEC1"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0.22 </w:t>
            </w:r>
          </w:p>
        </w:tc>
      </w:tr>
      <w:tr w:rsidR="00702C51" w:rsidRPr="00702C51" w14:paraId="15A5DA56"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605FDA9F"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200 &lt; GEN ≤ 250</w:t>
            </w:r>
          </w:p>
        </w:tc>
        <w:tc>
          <w:tcPr>
            <w:tcW w:w="590" w:type="dxa"/>
            <w:tcBorders>
              <w:top w:val="nil"/>
              <w:left w:val="nil"/>
              <w:bottom w:val="single" w:sz="4" w:space="0" w:color="auto"/>
              <w:right w:val="single" w:sz="4" w:space="0" w:color="auto"/>
            </w:tcBorders>
            <w:shd w:val="clear" w:color="000000" w:fill="B8CCE4"/>
            <w:noWrap/>
            <w:vAlign w:val="bottom"/>
            <w:hideMark/>
          </w:tcPr>
          <w:p w14:paraId="5852FB53"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250</w:t>
            </w:r>
          </w:p>
        </w:tc>
        <w:tc>
          <w:tcPr>
            <w:tcW w:w="914" w:type="dxa"/>
            <w:tcBorders>
              <w:top w:val="nil"/>
              <w:left w:val="nil"/>
              <w:bottom w:val="single" w:sz="4" w:space="0" w:color="auto"/>
              <w:right w:val="single" w:sz="4" w:space="0" w:color="auto"/>
            </w:tcBorders>
            <w:shd w:val="clear" w:color="000000" w:fill="B8CCE4"/>
            <w:noWrap/>
            <w:vAlign w:val="bottom"/>
            <w:hideMark/>
          </w:tcPr>
          <w:p w14:paraId="028078C5"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0.36 </w:t>
            </w:r>
          </w:p>
        </w:tc>
      </w:tr>
      <w:tr w:rsidR="00702C51" w:rsidRPr="00702C51" w14:paraId="2708B3DF"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16B5D4A3"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250 &lt; GEN ≤ 300</w:t>
            </w:r>
          </w:p>
        </w:tc>
        <w:tc>
          <w:tcPr>
            <w:tcW w:w="590" w:type="dxa"/>
            <w:tcBorders>
              <w:top w:val="nil"/>
              <w:left w:val="nil"/>
              <w:bottom w:val="single" w:sz="4" w:space="0" w:color="auto"/>
              <w:right w:val="single" w:sz="4" w:space="0" w:color="auto"/>
            </w:tcBorders>
            <w:shd w:val="clear" w:color="000000" w:fill="B8CCE4"/>
            <w:noWrap/>
            <w:vAlign w:val="bottom"/>
            <w:hideMark/>
          </w:tcPr>
          <w:p w14:paraId="58AB2EF4"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300</w:t>
            </w:r>
          </w:p>
        </w:tc>
        <w:tc>
          <w:tcPr>
            <w:tcW w:w="914" w:type="dxa"/>
            <w:tcBorders>
              <w:top w:val="nil"/>
              <w:left w:val="nil"/>
              <w:bottom w:val="single" w:sz="4" w:space="0" w:color="auto"/>
              <w:right w:val="single" w:sz="4" w:space="0" w:color="auto"/>
            </w:tcBorders>
            <w:shd w:val="clear" w:color="000000" w:fill="B8CCE4"/>
            <w:noWrap/>
            <w:vAlign w:val="bottom"/>
            <w:hideMark/>
          </w:tcPr>
          <w:p w14:paraId="3A353A41"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0.58 </w:t>
            </w:r>
          </w:p>
        </w:tc>
      </w:tr>
      <w:tr w:rsidR="00702C51" w:rsidRPr="00702C51" w14:paraId="5C6942C4"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13E926D7"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300 &lt; GEN ≤ 350</w:t>
            </w:r>
          </w:p>
        </w:tc>
        <w:tc>
          <w:tcPr>
            <w:tcW w:w="590" w:type="dxa"/>
            <w:tcBorders>
              <w:top w:val="nil"/>
              <w:left w:val="nil"/>
              <w:bottom w:val="single" w:sz="4" w:space="0" w:color="auto"/>
              <w:right w:val="single" w:sz="4" w:space="0" w:color="auto"/>
            </w:tcBorders>
            <w:shd w:val="clear" w:color="000000" w:fill="B8CCE4"/>
            <w:noWrap/>
            <w:vAlign w:val="bottom"/>
            <w:hideMark/>
          </w:tcPr>
          <w:p w14:paraId="7283BBC0"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350</w:t>
            </w:r>
          </w:p>
        </w:tc>
        <w:tc>
          <w:tcPr>
            <w:tcW w:w="914" w:type="dxa"/>
            <w:tcBorders>
              <w:top w:val="nil"/>
              <w:left w:val="nil"/>
              <w:bottom w:val="single" w:sz="4" w:space="0" w:color="auto"/>
              <w:right w:val="single" w:sz="4" w:space="0" w:color="auto"/>
            </w:tcBorders>
            <w:shd w:val="clear" w:color="000000" w:fill="B8CCE4"/>
            <w:noWrap/>
            <w:vAlign w:val="bottom"/>
            <w:hideMark/>
          </w:tcPr>
          <w:p w14:paraId="42C6B70D"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0.95 </w:t>
            </w:r>
          </w:p>
        </w:tc>
      </w:tr>
      <w:tr w:rsidR="00702C51" w:rsidRPr="00702C51" w14:paraId="7FDCD3A4"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4D333943"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350 &lt; GEN ≤ 400</w:t>
            </w:r>
          </w:p>
        </w:tc>
        <w:tc>
          <w:tcPr>
            <w:tcW w:w="590" w:type="dxa"/>
            <w:tcBorders>
              <w:top w:val="nil"/>
              <w:left w:val="nil"/>
              <w:bottom w:val="single" w:sz="4" w:space="0" w:color="auto"/>
              <w:right w:val="single" w:sz="4" w:space="0" w:color="auto"/>
            </w:tcBorders>
            <w:shd w:val="clear" w:color="000000" w:fill="B8CCE4"/>
            <w:noWrap/>
            <w:vAlign w:val="bottom"/>
            <w:hideMark/>
          </w:tcPr>
          <w:p w14:paraId="412893EF"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400</w:t>
            </w:r>
          </w:p>
        </w:tc>
        <w:tc>
          <w:tcPr>
            <w:tcW w:w="914" w:type="dxa"/>
            <w:tcBorders>
              <w:top w:val="nil"/>
              <w:left w:val="nil"/>
              <w:bottom w:val="single" w:sz="4" w:space="0" w:color="auto"/>
              <w:right w:val="single" w:sz="4" w:space="0" w:color="auto"/>
            </w:tcBorders>
            <w:shd w:val="clear" w:color="000000" w:fill="B8CCE4"/>
            <w:noWrap/>
            <w:vAlign w:val="bottom"/>
            <w:hideMark/>
          </w:tcPr>
          <w:p w14:paraId="4CC0146F"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1.54 </w:t>
            </w:r>
          </w:p>
        </w:tc>
      </w:tr>
      <w:tr w:rsidR="00702C51" w:rsidRPr="00702C51" w14:paraId="1A78D2EE"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55B03B4E"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400 &lt; GEN ≤ 450</w:t>
            </w:r>
          </w:p>
        </w:tc>
        <w:tc>
          <w:tcPr>
            <w:tcW w:w="590" w:type="dxa"/>
            <w:tcBorders>
              <w:top w:val="nil"/>
              <w:left w:val="nil"/>
              <w:bottom w:val="single" w:sz="4" w:space="0" w:color="auto"/>
              <w:right w:val="single" w:sz="4" w:space="0" w:color="auto"/>
            </w:tcBorders>
            <w:shd w:val="clear" w:color="000000" w:fill="B8CCE4"/>
            <w:noWrap/>
            <w:vAlign w:val="bottom"/>
            <w:hideMark/>
          </w:tcPr>
          <w:p w14:paraId="64DFFB6C"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450</w:t>
            </w:r>
          </w:p>
        </w:tc>
        <w:tc>
          <w:tcPr>
            <w:tcW w:w="914" w:type="dxa"/>
            <w:tcBorders>
              <w:top w:val="nil"/>
              <w:left w:val="nil"/>
              <w:bottom w:val="single" w:sz="4" w:space="0" w:color="auto"/>
              <w:right w:val="single" w:sz="4" w:space="0" w:color="auto"/>
            </w:tcBorders>
            <w:shd w:val="clear" w:color="000000" w:fill="B8CCE4"/>
            <w:noWrap/>
            <w:vAlign w:val="bottom"/>
            <w:hideMark/>
          </w:tcPr>
          <w:p w14:paraId="7FBD4123"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2.50 </w:t>
            </w:r>
          </w:p>
        </w:tc>
      </w:tr>
      <w:tr w:rsidR="00702C51" w:rsidRPr="00702C51" w14:paraId="4042C27A" w14:textId="77777777" w:rsidTr="006117E2">
        <w:trPr>
          <w:trHeight w:val="300"/>
          <w:jc w:val="center"/>
        </w:trPr>
        <w:tc>
          <w:tcPr>
            <w:tcW w:w="1560" w:type="dxa"/>
            <w:tcBorders>
              <w:top w:val="nil"/>
              <w:left w:val="single" w:sz="4" w:space="0" w:color="auto"/>
              <w:bottom w:val="single" w:sz="4" w:space="0" w:color="auto"/>
              <w:right w:val="single" w:sz="4" w:space="0" w:color="auto"/>
            </w:tcBorders>
            <w:shd w:val="clear" w:color="000000" w:fill="B8CCE4"/>
            <w:noWrap/>
            <w:vAlign w:val="bottom"/>
            <w:hideMark/>
          </w:tcPr>
          <w:p w14:paraId="2840A7A4" w14:textId="77777777" w:rsidR="00702C51" w:rsidRPr="00702C51" w:rsidRDefault="00702C51" w:rsidP="00702C51">
            <w:pP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450 &lt; GEN</w:t>
            </w:r>
          </w:p>
        </w:tc>
        <w:tc>
          <w:tcPr>
            <w:tcW w:w="590" w:type="dxa"/>
            <w:tcBorders>
              <w:top w:val="nil"/>
              <w:left w:val="nil"/>
              <w:bottom w:val="single" w:sz="4" w:space="0" w:color="auto"/>
              <w:right w:val="single" w:sz="4" w:space="0" w:color="auto"/>
            </w:tcBorders>
            <w:shd w:val="clear" w:color="000000" w:fill="B8CCE4"/>
            <w:noWrap/>
            <w:vAlign w:val="bottom"/>
            <w:hideMark/>
          </w:tcPr>
          <w:p w14:paraId="536BF460"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500</w:t>
            </w:r>
          </w:p>
        </w:tc>
        <w:tc>
          <w:tcPr>
            <w:tcW w:w="914" w:type="dxa"/>
            <w:tcBorders>
              <w:top w:val="nil"/>
              <w:left w:val="nil"/>
              <w:bottom w:val="single" w:sz="4" w:space="0" w:color="auto"/>
              <w:right w:val="single" w:sz="4" w:space="0" w:color="auto"/>
            </w:tcBorders>
            <w:shd w:val="clear" w:color="000000" w:fill="B8CCE4"/>
            <w:noWrap/>
            <w:vAlign w:val="bottom"/>
            <w:hideMark/>
          </w:tcPr>
          <w:p w14:paraId="6F8AF0BF" w14:textId="77777777" w:rsidR="00702C51" w:rsidRPr="00702C51" w:rsidRDefault="00702C51" w:rsidP="00702C51">
            <w:pPr>
              <w:jc w:val="center"/>
              <w:rPr>
                <w:rFonts w:ascii="Arial" w:eastAsia="Times New Roman" w:hAnsi="Arial" w:cs="Arial"/>
                <w:b/>
                <w:bCs/>
                <w:color w:val="000000"/>
                <w:sz w:val="16"/>
                <w:szCs w:val="16"/>
                <w:lang w:val="en-IE" w:eastAsia="en-IE"/>
              </w:rPr>
            </w:pPr>
            <w:r w:rsidRPr="00702C51">
              <w:rPr>
                <w:rFonts w:ascii="Arial" w:eastAsia="Times New Roman" w:hAnsi="Arial" w:cs="Arial"/>
                <w:b/>
                <w:bCs/>
                <w:color w:val="000000"/>
                <w:sz w:val="16"/>
                <w:szCs w:val="16"/>
                <w:lang w:val="en-IE" w:eastAsia="en-IE"/>
              </w:rPr>
              <w:t xml:space="preserve"> €   4.07 </w:t>
            </w:r>
          </w:p>
        </w:tc>
      </w:tr>
    </w:tbl>
    <w:p w14:paraId="585DAA34" w14:textId="62350E0E" w:rsidR="0013336C" w:rsidRPr="005D1B3B" w:rsidRDefault="0013336C" w:rsidP="0013336C">
      <w:pPr>
        <w:spacing w:before="200" w:after="200" w:line="276" w:lineRule="auto"/>
        <w:jc w:val="center"/>
        <w:rPr>
          <w:rFonts w:ascii="Calibri" w:eastAsia="Times New Roman" w:hAnsi="Calibri" w:cs="Times New Roman"/>
          <w:b/>
          <w:sz w:val="20"/>
          <w:szCs w:val="20"/>
          <w:lang w:val="en-IE" w:eastAsia="en-US" w:bidi="en-US"/>
        </w:rPr>
      </w:pPr>
      <w:r w:rsidRPr="0013336C">
        <w:rPr>
          <w:rFonts w:ascii="Calibri" w:eastAsia="Times New Roman" w:hAnsi="Calibri" w:cs="Times New Roman"/>
          <w:b/>
          <w:sz w:val="20"/>
          <w:szCs w:val="20"/>
          <w:lang w:val="en-IE" w:eastAsia="en-US" w:bidi="en-US"/>
        </w:rPr>
        <w:t xml:space="preserve">Table </w:t>
      </w:r>
      <w:r>
        <w:rPr>
          <w:rFonts w:ascii="Calibri" w:eastAsia="Times New Roman" w:hAnsi="Calibri" w:cs="Times New Roman"/>
          <w:b/>
          <w:sz w:val="20"/>
          <w:szCs w:val="20"/>
          <w:lang w:val="en-IE" w:eastAsia="en-US" w:bidi="en-US"/>
        </w:rPr>
        <w:t>3</w:t>
      </w:r>
      <w:r w:rsidRPr="0013336C">
        <w:rPr>
          <w:rFonts w:ascii="Calibri" w:eastAsia="Times New Roman" w:hAnsi="Calibri" w:cs="Times New Roman"/>
          <w:b/>
          <w:sz w:val="20"/>
          <w:szCs w:val="20"/>
          <w:lang w:val="en-IE" w:eastAsia="en-US" w:bidi="en-US"/>
        </w:rPr>
        <w:t xml:space="preserve">: Testing </w:t>
      </w:r>
      <w:r>
        <w:rPr>
          <w:rFonts w:ascii="Calibri" w:eastAsia="Times New Roman" w:hAnsi="Calibri" w:cs="Times New Roman"/>
          <w:b/>
          <w:sz w:val="20"/>
          <w:szCs w:val="20"/>
          <w:lang w:val="en-IE" w:eastAsia="en-US" w:bidi="en-US"/>
        </w:rPr>
        <w:t>Tariff B</w:t>
      </w:r>
    </w:p>
    <w:p w14:paraId="2FA288B5" w14:textId="77777777" w:rsidR="007F5B07" w:rsidRPr="007F5B07" w:rsidRDefault="007F5B07" w:rsidP="007F5B07">
      <w:pPr>
        <w:spacing w:before="200" w:after="200" w:line="276" w:lineRule="auto"/>
        <w:jc w:val="center"/>
        <w:rPr>
          <w:rFonts w:ascii="Calibri" w:eastAsia="Times New Roman" w:hAnsi="Calibri" w:cs="Times New Roman"/>
          <w:b/>
          <w:sz w:val="16"/>
          <w:szCs w:val="16"/>
          <w:lang w:val="en-IE" w:eastAsia="en-US" w:bidi="en-US"/>
        </w:rPr>
      </w:pPr>
    </w:p>
    <w:p w14:paraId="09635C0D" w14:textId="321BE13A" w:rsidR="007F5B07" w:rsidRPr="007F5B07" w:rsidRDefault="00893DD1" w:rsidP="007F5B07">
      <w:pPr>
        <w:pBdr>
          <w:top w:val="single" w:sz="6" w:space="2" w:color="4F81BD"/>
          <w:left w:val="single" w:sz="6" w:space="2" w:color="4F81BD"/>
        </w:pBdr>
        <w:spacing w:before="300" w:line="276" w:lineRule="auto"/>
        <w:outlineLvl w:val="2"/>
        <w:rPr>
          <w:rFonts w:ascii="Calibri" w:eastAsia="Times New Roman" w:hAnsi="Calibri" w:cs="Times New Roman"/>
          <w:caps/>
          <w:color w:val="243F60"/>
          <w:spacing w:val="15"/>
          <w:sz w:val="22"/>
          <w:szCs w:val="22"/>
          <w:lang w:val="en-IE" w:eastAsia="en-US" w:bidi="en-US"/>
        </w:rPr>
      </w:pPr>
      <w:bookmarkStart w:id="24" w:name="_Toc489276450"/>
      <w:r>
        <w:rPr>
          <w:rFonts w:ascii="Calibri" w:eastAsia="Times New Roman" w:hAnsi="Calibri" w:cs="Times New Roman"/>
          <w:caps/>
          <w:color w:val="243F60"/>
          <w:spacing w:val="15"/>
          <w:sz w:val="22"/>
          <w:szCs w:val="22"/>
          <w:lang w:val="en-IE" w:eastAsia="en-US" w:bidi="en-US"/>
        </w:rPr>
        <w:t>4</w:t>
      </w:r>
      <w:r w:rsidR="007F5B07" w:rsidRPr="007F5B07">
        <w:rPr>
          <w:rFonts w:ascii="Calibri" w:eastAsia="Times New Roman" w:hAnsi="Calibri" w:cs="Times New Roman"/>
          <w:caps/>
          <w:color w:val="243F60"/>
          <w:spacing w:val="15"/>
          <w:sz w:val="22"/>
          <w:szCs w:val="22"/>
          <w:lang w:val="en-IE" w:eastAsia="en-US" w:bidi="en-US"/>
        </w:rPr>
        <w:t>.2.1 Costs of Output drops</w:t>
      </w:r>
      <w:bookmarkEnd w:id="24"/>
    </w:p>
    <w:p w14:paraId="09C370B9" w14:textId="77777777" w:rsidR="00191F2B" w:rsidRDefault="00191F2B" w:rsidP="00191F2B">
      <w:pPr>
        <w:spacing w:before="200" w:after="200" w:line="276" w:lineRule="auto"/>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 xml:space="preserve">The TSO utilised actual trips from GUUT since 2010.  Rates were weighted based on actual trips from 2010-2016.  62.4% direct trip, 22% fast wind down and 15.6% slow wind down.  </w:t>
      </w:r>
    </w:p>
    <w:p w14:paraId="54E87905" w14:textId="3AFDA169" w:rsidR="007F5B07" w:rsidRDefault="007F5B07">
      <w:pPr>
        <w:rPr>
          <w:rFonts w:ascii="Calibri" w:eastAsia="Times New Roman" w:hAnsi="Calibri" w:cs="Times New Roman"/>
          <w:b/>
          <w:bCs/>
          <w:caps/>
          <w:color w:val="FFFFFF"/>
          <w:spacing w:val="15"/>
          <w:sz w:val="22"/>
          <w:szCs w:val="22"/>
          <w:lang w:val="en-IE" w:eastAsia="en-US" w:bidi="en-US"/>
        </w:rPr>
      </w:pPr>
    </w:p>
    <w:p w14:paraId="7BF6C94E" w14:textId="00461E37" w:rsidR="007F5B07" w:rsidRPr="007F5B07" w:rsidRDefault="00893DD1"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rPr>
          <w:rFonts w:ascii="Calibri" w:eastAsia="Times New Roman" w:hAnsi="Calibri" w:cs="Times New Roman"/>
          <w:b/>
          <w:bCs/>
          <w:caps/>
          <w:color w:val="FFFFFF"/>
          <w:spacing w:val="15"/>
          <w:sz w:val="22"/>
          <w:szCs w:val="22"/>
          <w:lang w:val="en-IE" w:eastAsia="en-US" w:bidi="en-US"/>
        </w:rPr>
      </w:pPr>
      <w:bookmarkStart w:id="25" w:name="_Toc489276451"/>
      <w:r>
        <w:rPr>
          <w:rFonts w:ascii="Calibri" w:eastAsia="Times New Roman" w:hAnsi="Calibri" w:cs="Times New Roman"/>
          <w:b/>
          <w:bCs/>
          <w:caps/>
          <w:color w:val="FFFFFF"/>
          <w:spacing w:val="15"/>
          <w:sz w:val="22"/>
          <w:szCs w:val="22"/>
          <w:lang w:val="en-IE" w:eastAsia="en-US" w:bidi="en-US"/>
        </w:rPr>
        <w:t>5</w:t>
      </w:r>
      <w:r w:rsidR="007F5B07" w:rsidRPr="007F5B07">
        <w:rPr>
          <w:rFonts w:ascii="Calibri" w:eastAsia="Times New Roman" w:hAnsi="Calibri" w:cs="Times New Roman"/>
          <w:b/>
          <w:bCs/>
          <w:caps/>
          <w:color w:val="FFFFFF"/>
          <w:spacing w:val="15"/>
          <w:sz w:val="22"/>
          <w:szCs w:val="22"/>
          <w:lang w:val="en-IE" w:eastAsia="en-US" w:bidi="en-US"/>
        </w:rPr>
        <w:t xml:space="preserve">.0 </w:t>
      </w:r>
      <w:r w:rsidR="00265AE7">
        <w:rPr>
          <w:rFonts w:ascii="Calibri" w:eastAsia="Times New Roman" w:hAnsi="Calibri" w:cs="Times New Roman"/>
          <w:b/>
          <w:bCs/>
          <w:caps/>
          <w:color w:val="FFFFFF"/>
          <w:spacing w:val="15"/>
          <w:sz w:val="22"/>
          <w:szCs w:val="22"/>
          <w:lang w:val="en-IE" w:eastAsia="en-US" w:bidi="en-US"/>
        </w:rPr>
        <w:t>Rollover of 2017 Rates</w:t>
      </w:r>
      <w:bookmarkEnd w:id="25"/>
    </w:p>
    <w:p w14:paraId="4595B490" w14:textId="521EB6C2" w:rsidR="007F5B07" w:rsidRDefault="00265AE7" w:rsidP="007F5B07">
      <w:pPr>
        <w:spacing w:before="200" w:after="200" w:line="276" w:lineRule="auto"/>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 xml:space="preserve">The TSOs propose to Rollover the 2017 testing tariff rates until </w:t>
      </w:r>
      <w:r w:rsidR="00702C51">
        <w:rPr>
          <w:rFonts w:ascii="Calibri" w:eastAsia="Times New Roman" w:hAnsi="Calibri" w:cs="Times New Roman"/>
          <w:sz w:val="20"/>
          <w:szCs w:val="20"/>
          <w:lang w:val="en-IE" w:eastAsia="en-US" w:bidi="en-US"/>
        </w:rPr>
        <w:t>I-SEM go live in 2018.</w:t>
      </w:r>
      <w:r>
        <w:rPr>
          <w:rFonts w:ascii="Calibri" w:eastAsia="Times New Roman" w:hAnsi="Calibri" w:cs="Times New Roman"/>
          <w:sz w:val="20"/>
          <w:szCs w:val="20"/>
          <w:lang w:val="en-IE" w:eastAsia="en-US" w:bidi="en-US"/>
        </w:rPr>
        <w:t xml:space="preserve">  Testing tariff rates in I-SEM will be proposed in a separate consultation paper.</w:t>
      </w:r>
    </w:p>
    <w:p w14:paraId="13B4B96F" w14:textId="03687A25" w:rsidR="00265AE7" w:rsidRDefault="00265AE7" w:rsidP="007F5B07">
      <w:pPr>
        <w:spacing w:before="200" w:after="200" w:line="276" w:lineRule="auto"/>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There are no significant risks in carrying the 2017 rat</w:t>
      </w:r>
      <w:r w:rsidR="00461ADD">
        <w:rPr>
          <w:rFonts w:ascii="Calibri" w:eastAsia="Times New Roman" w:hAnsi="Calibri" w:cs="Times New Roman"/>
          <w:sz w:val="20"/>
          <w:szCs w:val="20"/>
          <w:lang w:val="en-IE" w:eastAsia="en-US" w:bidi="en-US"/>
        </w:rPr>
        <w:t xml:space="preserve">es into the SEM portion of 2018.  </w:t>
      </w:r>
    </w:p>
    <w:p w14:paraId="0F6A42D7"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p w14:paraId="7A92DF6F" w14:textId="67456C81" w:rsidR="007F5B07" w:rsidRPr="007F5B07" w:rsidRDefault="00893DD1" w:rsidP="007F5B07">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rPr>
          <w:rFonts w:ascii="Calibri" w:eastAsia="Times New Roman" w:hAnsi="Calibri" w:cs="Times New Roman"/>
          <w:b/>
          <w:bCs/>
          <w:caps/>
          <w:color w:val="FFFFFF"/>
          <w:spacing w:val="15"/>
          <w:sz w:val="22"/>
          <w:szCs w:val="22"/>
          <w:lang w:val="en-IE" w:eastAsia="en-US" w:bidi="en-US"/>
        </w:rPr>
      </w:pPr>
      <w:bookmarkStart w:id="26" w:name="_Toc489276452"/>
      <w:r>
        <w:rPr>
          <w:rFonts w:ascii="Calibri" w:eastAsia="Times New Roman" w:hAnsi="Calibri" w:cs="Times New Roman"/>
          <w:b/>
          <w:bCs/>
          <w:caps/>
          <w:color w:val="FFFFFF"/>
          <w:spacing w:val="15"/>
          <w:sz w:val="22"/>
          <w:szCs w:val="22"/>
          <w:lang w:val="en-IE" w:eastAsia="en-US" w:bidi="en-US"/>
        </w:rPr>
        <w:t>6</w:t>
      </w:r>
      <w:r w:rsidR="007F5B07" w:rsidRPr="007F5B07">
        <w:rPr>
          <w:rFonts w:ascii="Calibri" w:eastAsia="Times New Roman" w:hAnsi="Calibri" w:cs="Times New Roman"/>
          <w:b/>
          <w:bCs/>
          <w:caps/>
          <w:color w:val="FFFFFF"/>
          <w:spacing w:val="15"/>
          <w:sz w:val="22"/>
          <w:szCs w:val="22"/>
          <w:lang w:val="en-IE" w:eastAsia="en-US" w:bidi="en-US"/>
        </w:rPr>
        <w:t>.0</w:t>
      </w:r>
      <w:r w:rsidR="00701284">
        <w:rPr>
          <w:rFonts w:ascii="Calibri" w:eastAsia="Times New Roman" w:hAnsi="Calibri" w:cs="Times New Roman"/>
          <w:b/>
          <w:bCs/>
          <w:caps/>
          <w:color w:val="FFFFFF"/>
          <w:spacing w:val="15"/>
          <w:sz w:val="22"/>
          <w:szCs w:val="22"/>
          <w:lang w:val="en-IE" w:eastAsia="en-US" w:bidi="en-US"/>
        </w:rPr>
        <w:t xml:space="preserve"> I-SEM Parameters</w:t>
      </w:r>
      <w:bookmarkEnd w:id="26"/>
      <w:r w:rsidR="00461ADD">
        <w:rPr>
          <w:rFonts w:ascii="Calibri" w:eastAsia="Times New Roman" w:hAnsi="Calibri" w:cs="Times New Roman"/>
          <w:b/>
          <w:bCs/>
          <w:caps/>
          <w:color w:val="FFFFFF"/>
          <w:spacing w:val="15"/>
          <w:sz w:val="22"/>
          <w:szCs w:val="22"/>
          <w:lang w:val="en-IE" w:eastAsia="en-US" w:bidi="en-US"/>
        </w:rPr>
        <w:t xml:space="preserve"> </w:t>
      </w:r>
    </w:p>
    <w:p w14:paraId="6F92A167" w14:textId="6496F086" w:rsidR="007F5B07" w:rsidRPr="007F5B07" w:rsidRDefault="00701284" w:rsidP="007F5B07">
      <w:pPr>
        <w:spacing w:before="200" w:after="200" w:line="276" w:lineRule="auto"/>
        <w:jc w:val="both"/>
        <w:rPr>
          <w:rFonts w:ascii="Calibri" w:eastAsia="Times New Roman" w:hAnsi="Calibri" w:cs="Times New Roman"/>
          <w:sz w:val="20"/>
          <w:szCs w:val="20"/>
          <w:lang w:val="en-IE" w:eastAsia="en-US" w:bidi="en-US"/>
        </w:rPr>
      </w:pPr>
      <w:r>
        <w:rPr>
          <w:rFonts w:ascii="Calibri" w:eastAsia="Times New Roman" w:hAnsi="Calibri" w:cs="Times New Roman"/>
          <w:sz w:val="20"/>
          <w:szCs w:val="20"/>
          <w:lang w:val="en-IE" w:eastAsia="en-US" w:bidi="en-US"/>
        </w:rPr>
        <w:t>The</w:t>
      </w:r>
      <w:r w:rsidR="00461ADD">
        <w:rPr>
          <w:rFonts w:ascii="Calibri" w:eastAsia="Times New Roman" w:hAnsi="Calibri" w:cs="Times New Roman"/>
          <w:sz w:val="20"/>
          <w:szCs w:val="20"/>
          <w:lang w:val="en-IE" w:eastAsia="en-US" w:bidi="en-US"/>
        </w:rPr>
        <w:t xml:space="preserve"> methodology for testing tariff rates in I-SEM is currently under consultation.  </w:t>
      </w:r>
    </w:p>
    <w:p w14:paraId="6746E4D3"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p w14:paraId="25C56EF6" w14:textId="77777777" w:rsidR="007F5B07" w:rsidRPr="007F5B07" w:rsidRDefault="007F5B07" w:rsidP="007F5B07">
      <w:pPr>
        <w:spacing w:before="200" w:after="200" w:line="276" w:lineRule="auto"/>
        <w:jc w:val="both"/>
        <w:rPr>
          <w:rFonts w:ascii="Calibri" w:eastAsia="Times New Roman" w:hAnsi="Calibri" w:cs="Times New Roman"/>
          <w:sz w:val="20"/>
          <w:szCs w:val="20"/>
          <w:lang w:val="en-IE" w:eastAsia="en-US" w:bidi="en-US"/>
        </w:rPr>
      </w:pPr>
    </w:p>
    <w:sectPr w:rsidR="007F5B07" w:rsidRPr="007F5B07" w:rsidSect="00B605F5">
      <w:headerReference w:type="even" r:id="rId18"/>
      <w:headerReference w:type="default" r:id="rId19"/>
      <w:footerReference w:type="default" r:id="rId20"/>
      <w:headerReference w:type="first" r:id="rId21"/>
      <w:pgSz w:w="11900" w:h="16820"/>
      <w:pgMar w:top="993" w:right="1268" w:bottom="1701" w:left="1276" w:header="1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39AD" w14:textId="77777777" w:rsidR="005151F1" w:rsidRDefault="005151F1" w:rsidP="00703156">
      <w:r>
        <w:separator/>
      </w:r>
    </w:p>
  </w:endnote>
  <w:endnote w:type="continuationSeparator" w:id="0">
    <w:p w14:paraId="281BA461" w14:textId="77777777" w:rsidR="005151F1" w:rsidRDefault="005151F1" w:rsidP="0070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etaNormal">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741E" w14:textId="77777777" w:rsidR="00080DB1" w:rsidRDefault="00080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F337E" w14:textId="77777777" w:rsidR="00080DB1" w:rsidRDefault="00080D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71062" w14:textId="77777777" w:rsidR="00080DB1" w:rsidRDefault="00080D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276"/>
    </w:tblGrid>
    <w:tr w:rsidR="005D0675" w:rsidRPr="009E7187" w14:paraId="49326588" w14:textId="77777777" w:rsidTr="00BC2EFF">
      <w:trPr>
        <w:trHeight w:hRule="exact" w:val="851"/>
      </w:trPr>
      <w:tc>
        <w:tcPr>
          <w:tcW w:w="8222" w:type="dxa"/>
        </w:tcPr>
        <w:p w14:paraId="5597CD20" w14:textId="498442F8" w:rsidR="005D0675" w:rsidRDefault="005D0675" w:rsidP="00212985">
          <w:pPr>
            <w:pStyle w:val="Footer"/>
            <w:tabs>
              <w:tab w:val="clear" w:pos="4320"/>
              <w:tab w:val="clear" w:pos="8640"/>
              <w:tab w:val="center" w:pos="8931"/>
            </w:tabs>
            <w:ind w:left="-142"/>
            <w:rPr>
              <w:rFonts w:ascii="Arial" w:hAnsi="Arial"/>
              <w:b/>
            </w:rPr>
          </w:pPr>
        </w:p>
        <w:p w14:paraId="629C7ECD" w14:textId="2ABE7E1B" w:rsidR="005D0675" w:rsidRPr="00BC2EFF" w:rsidRDefault="005D0675" w:rsidP="007D1195">
          <w:pPr>
            <w:jc w:val="both"/>
          </w:pPr>
        </w:p>
      </w:tc>
      <w:tc>
        <w:tcPr>
          <w:tcW w:w="1276" w:type="dxa"/>
          <w:tcMar>
            <w:top w:w="0" w:type="dxa"/>
            <w:bottom w:w="284" w:type="dxa"/>
          </w:tcMar>
        </w:tcPr>
        <w:p w14:paraId="4CCC922B" w14:textId="77777777" w:rsidR="005D0675" w:rsidRDefault="005D0675" w:rsidP="00AC7F92">
          <w:pPr>
            <w:pStyle w:val="Footer"/>
            <w:tabs>
              <w:tab w:val="clear" w:pos="4320"/>
              <w:tab w:val="clear" w:pos="8640"/>
              <w:tab w:val="center" w:pos="8931"/>
            </w:tabs>
            <w:spacing w:line="276" w:lineRule="auto"/>
            <w:jc w:val="right"/>
            <w:rPr>
              <w:rFonts w:ascii="Arial" w:hAnsi="Arial"/>
              <w:b/>
              <w:sz w:val="20"/>
              <w:szCs w:val="20"/>
            </w:rPr>
          </w:pPr>
        </w:p>
        <w:p w14:paraId="7DD30B73" w14:textId="77777777" w:rsidR="005D0675" w:rsidRDefault="005D0675" w:rsidP="00AC7F92">
          <w:pPr>
            <w:pStyle w:val="Footer"/>
            <w:tabs>
              <w:tab w:val="clear" w:pos="4320"/>
              <w:tab w:val="clear" w:pos="8640"/>
              <w:tab w:val="center" w:pos="8931"/>
            </w:tabs>
            <w:spacing w:line="276" w:lineRule="auto"/>
            <w:jc w:val="right"/>
            <w:rPr>
              <w:rFonts w:ascii="Arial" w:hAnsi="Arial"/>
              <w:b/>
              <w:sz w:val="20"/>
              <w:szCs w:val="20"/>
            </w:rPr>
          </w:pPr>
        </w:p>
        <w:p w14:paraId="3BA522BC" w14:textId="0EA1A05B" w:rsidR="005D0675" w:rsidRPr="0019012B" w:rsidRDefault="005D0675" w:rsidP="00AC7F92">
          <w:pPr>
            <w:pStyle w:val="Footer"/>
            <w:tabs>
              <w:tab w:val="clear" w:pos="4320"/>
              <w:tab w:val="clear" w:pos="8640"/>
              <w:tab w:val="center" w:pos="8931"/>
            </w:tabs>
            <w:spacing w:line="276" w:lineRule="auto"/>
            <w:jc w:val="right"/>
            <w:rPr>
              <w:rFonts w:ascii="Arial" w:hAnsi="Arial"/>
              <w:b/>
              <w:sz w:val="20"/>
              <w:szCs w:val="20"/>
            </w:rPr>
          </w:pPr>
          <w:r w:rsidRPr="0019012B">
            <w:rPr>
              <w:rFonts w:ascii="Arial" w:hAnsi="Arial"/>
              <w:b/>
              <w:sz w:val="20"/>
              <w:szCs w:val="20"/>
            </w:rPr>
            <w:t xml:space="preserve">Page </w:t>
          </w:r>
          <w:r w:rsidRPr="0019012B">
            <w:rPr>
              <w:rStyle w:val="PageNumber"/>
              <w:rFonts w:ascii="Arial" w:hAnsi="Arial"/>
              <w:b/>
              <w:sz w:val="20"/>
              <w:szCs w:val="20"/>
            </w:rPr>
            <w:fldChar w:fldCharType="begin"/>
          </w:r>
          <w:r w:rsidRPr="0019012B">
            <w:rPr>
              <w:rStyle w:val="PageNumber"/>
              <w:rFonts w:ascii="Arial" w:hAnsi="Arial"/>
              <w:b/>
              <w:sz w:val="20"/>
              <w:szCs w:val="20"/>
            </w:rPr>
            <w:instrText xml:space="preserve"> PAGE </w:instrText>
          </w:r>
          <w:r w:rsidRPr="0019012B">
            <w:rPr>
              <w:rStyle w:val="PageNumber"/>
              <w:rFonts w:ascii="Arial" w:hAnsi="Arial"/>
              <w:b/>
              <w:sz w:val="20"/>
              <w:szCs w:val="20"/>
            </w:rPr>
            <w:fldChar w:fldCharType="separate"/>
          </w:r>
          <w:r w:rsidR="00080DB1">
            <w:rPr>
              <w:rStyle w:val="PageNumber"/>
              <w:rFonts w:ascii="Arial" w:hAnsi="Arial"/>
              <w:b/>
              <w:noProof/>
              <w:sz w:val="20"/>
              <w:szCs w:val="20"/>
            </w:rPr>
            <w:t>2</w:t>
          </w:r>
          <w:r w:rsidRPr="0019012B">
            <w:rPr>
              <w:rStyle w:val="PageNumber"/>
              <w:rFonts w:ascii="Arial" w:hAnsi="Arial"/>
              <w:b/>
              <w:sz w:val="20"/>
              <w:szCs w:val="20"/>
            </w:rPr>
            <w:fldChar w:fldCharType="end"/>
          </w:r>
        </w:p>
      </w:tc>
    </w:tr>
  </w:tbl>
  <w:p w14:paraId="7FC9B56F" w14:textId="20C31352" w:rsidR="005D0675" w:rsidRPr="00112AB0" w:rsidRDefault="005D0675" w:rsidP="00C23443">
    <w:pPr>
      <w:pStyle w:val="Footer"/>
      <w:tabs>
        <w:tab w:val="clear" w:pos="4320"/>
        <w:tab w:val="clear" w:pos="8640"/>
        <w:tab w:val="center" w:pos="8931"/>
      </w:tabs>
      <w:rPr>
        <w:rFonts w:ascii="Arial" w:hAnsi="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66198" w14:textId="77777777" w:rsidR="005151F1" w:rsidRDefault="005151F1" w:rsidP="00703156">
      <w:r>
        <w:separator/>
      </w:r>
    </w:p>
  </w:footnote>
  <w:footnote w:type="continuationSeparator" w:id="0">
    <w:p w14:paraId="556FC177" w14:textId="77777777" w:rsidR="005151F1" w:rsidRDefault="005151F1" w:rsidP="00703156">
      <w:r>
        <w:continuationSeparator/>
      </w:r>
    </w:p>
  </w:footnote>
  <w:footnote w:id="1">
    <w:p w14:paraId="78FD2799" w14:textId="75E3B07E" w:rsidR="007F5B07" w:rsidRPr="004F504E" w:rsidRDefault="007F5B07" w:rsidP="007F5B07">
      <w:pPr>
        <w:pStyle w:val="FootnoteText"/>
        <w:rPr>
          <w:sz w:val="14"/>
        </w:rPr>
      </w:pPr>
      <w:r w:rsidRPr="008D5854">
        <w:rPr>
          <w:rStyle w:val="FootnoteReference"/>
        </w:rPr>
        <w:footnoteRef/>
      </w:r>
      <w:r w:rsidRPr="008D5854">
        <w:t xml:space="preserve"> </w:t>
      </w:r>
      <w:r w:rsidRPr="008D5854">
        <w:rPr>
          <w:sz w:val="14"/>
        </w:rPr>
        <w:t>“Year” defined as per Trading and Settlement Code (</w:t>
      </w:r>
      <w:r w:rsidR="00387B29">
        <w:rPr>
          <w:sz w:val="14"/>
        </w:rPr>
        <w:t>Version 18</w:t>
      </w:r>
      <w:r w:rsidRPr="007915B1">
        <w:rPr>
          <w:sz w:val="14"/>
        </w:rPr>
        <w:t>.0)</w:t>
      </w:r>
      <w:r w:rsidRPr="008D5854">
        <w:rPr>
          <w:sz w:val="14"/>
        </w:rPr>
        <w:t xml:space="preserve"> glossary: “means a period commencing at 00:00h on 1 January and ending at 24:00h on the next occurring 31 December.</w:t>
      </w:r>
    </w:p>
  </w:footnote>
  <w:footnote w:id="2">
    <w:p w14:paraId="22E50E5F" w14:textId="3DAFC48B" w:rsidR="007F5B07" w:rsidRPr="00F00E31" w:rsidRDefault="007F5B07" w:rsidP="007F5B07">
      <w:pPr>
        <w:pStyle w:val="FootnoteText"/>
        <w:spacing w:after="120"/>
        <w:rPr>
          <w:sz w:val="14"/>
          <w:szCs w:val="14"/>
        </w:rPr>
      </w:pPr>
      <w:r>
        <w:rPr>
          <w:rStyle w:val="FootnoteReference"/>
        </w:rPr>
        <w:footnoteRef/>
      </w:r>
      <w:r>
        <w:t xml:space="preserve"> </w:t>
      </w:r>
      <w:r w:rsidRPr="00F00E31">
        <w:rPr>
          <w:i/>
          <w:sz w:val="14"/>
          <w:szCs w:val="14"/>
        </w:rPr>
        <w:t xml:space="preserve">SEM Testing Tariff </w:t>
      </w:r>
      <w:r w:rsidR="007949E5">
        <w:rPr>
          <w:i/>
          <w:sz w:val="14"/>
          <w:szCs w:val="14"/>
        </w:rPr>
        <w:t>Recommendations Paper November</w:t>
      </w:r>
      <w:r w:rsidRPr="00F00E31">
        <w:rPr>
          <w:i/>
          <w:sz w:val="14"/>
          <w:szCs w:val="14"/>
        </w:rPr>
        <w:t xml:space="preserve"> 2011</w:t>
      </w:r>
      <w:r w:rsidRPr="00F00E31">
        <w:rPr>
          <w:sz w:val="14"/>
          <w:szCs w:val="14"/>
        </w:rPr>
        <w:t xml:space="preserve"> </w:t>
      </w:r>
      <w:r w:rsidRPr="007915B1">
        <w:rPr>
          <w:sz w:val="14"/>
          <w:szCs w:val="14"/>
        </w:rPr>
        <w:t>sets out the methodology for calculating the cost components attributable to generator units under test</w:t>
      </w:r>
      <w:r w:rsidRPr="00F00E31">
        <w:rPr>
          <w:sz w:val="14"/>
          <w:szCs w:val="14"/>
        </w:rPr>
        <w:t xml:space="preserve">. </w:t>
      </w:r>
      <w:hyperlink r:id="rId1" w:history="1">
        <w:r w:rsidRPr="00F00E31">
          <w:rPr>
            <w:rStyle w:val="Hyperlink"/>
            <w:sz w:val="14"/>
            <w:szCs w:val="14"/>
          </w:rPr>
          <w:t>http://www.allislandproject.org/en/transmission_decision_documents.aspx?article=3d45a24c-5677-4fa6-9254-ebe00aa0db0c</w:t>
        </w:r>
      </w:hyperlink>
    </w:p>
  </w:footnote>
  <w:footnote w:id="3">
    <w:p w14:paraId="48651AAB" w14:textId="3F5B13D8" w:rsidR="007F5B07" w:rsidRPr="003F4A51" w:rsidRDefault="007F5B07" w:rsidP="007F5B07">
      <w:pPr>
        <w:pStyle w:val="FootnoteText"/>
        <w:rPr>
          <w:sz w:val="14"/>
          <w:szCs w:val="14"/>
          <w:lang w:val="en-IE"/>
        </w:rPr>
      </w:pPr>
      <w:r>
        <w:rPr>
          <w:rStyle w:val="FootnoteReference"/>
        </w:rPr>
        <w:footnoteRef/>
      </w:r>
      <w:r>
        <w:t xml:space="preserve"> </w:t>
      </w:r>
      <w:r w:rsidR="003D6CCF" w:rsidRPr="003D6CCF">
        <w:rPr>
          <w:sz w:val="14"/>
          <w:szCs w:val="14"/>
          <w:lang w:val="en-IE"/>
        </w:rPr>
        <w:t>Operating reserve requirements are set out in</w:t>
      </w:r>
      <w:r w:rsidR="003D6CCF" w:rsidRPr="003D6CCF">
        <w:rPr>
          <w:i/>
          <w:sz w:val="14"/>
          <w:szCs w:val="14"/>
          <w:lang w:val="en-IE"/>
        </w:rPr>
        <w:t xml:space="preserve">:  </w:t>
      </w:r>
      <w:hyperlink r:id="rId2" w:history="1">
        <w:r w:rsidR="003D6CCF">
          <w:rPr>
            <w:rStyle w:val="Hyperlink"/>
            <w:i/>
            <w:sz w:val="14"/>
            <w:szCs w:val="14"/>
            <w:lang w:val="en-IE"/>
          </w:rPr>
          <w:t>http://www.eirgridgroup.com/site-files/library/EirGrid/OperationalConstraintsUpdateVersion1_52_May_2017.pdf</w:t>
        </w:r>
      </w:hyperlink>
      <w:r w:rsidR="003D6CCF" w:rsidRPr="003D6CCF">
        <w:rPr>
          <w:sz w:val="14"/>
          <w:szCs w:val="14"/>
          <w:lang w:val="en-IE"/>
        </w:rPr>
        <w:t xml:space="preserve"> and are updated when required</w:t>
      </w:r>
    </w:p>
  </w:footnote>
  <w:footnote w:id="4">
    <w:p w14:paraId="1187ED4F" w14:textId="77777777" w:rsidR="00893DD1" w:rsidRPr="00702950" w:rsidRDefault="00893DD1" w:rsidP="00893DD1">
      <w:pPr>
        <w:pStyle w:val="FootnoteText"/>
        <w:rPr>
          <w:rFonts w:ascii="MetaNormal" w:hAnsi="MetaNormal"/>
        </w:rPr>
      </w:pPr>
      <w:r w:rsidRPr="003B3592">
        <w:rPr>
          <w:rStyle w:val="FootnoteReference"/>
          <w:rFonts w:asciiTheme="majorHAnsi" w:hAnsiTheme="majorHAnsi" w:cstheme="majorHAnsi"/>
          <w:sz w:val="18"/>
          <w:szCs w:val="18"/>
        </w:rPr>
        <w:footnoteRef/>
      </w:r>
      <w:r w:rsidRPr="003B3592">
        <w:rPr>
          <w:rFonts w:asciiTheme="majorHAnsi" w:hAnsiTheme="majorHAnsi" w:cstheme="majorHAnsi"/>
          <w:sz w:val="18"/>
          <w:szCs w:val="18"/>
        </w:rPr>
        <w:t xml:space="preserve"> </w:t>
      </w:r>
      <w:hyperlink r:id="rId3" w:history="1">
        <w:r w:rsidRPr="003E5113">
          <w:rPr>
            <w:rStyle w:val="Hyperlink"/>
            <w:rFonts w:asciiTheme="majorHAnsi" w:hAnsiTheme="majorHAnsi" w:cstheme="majorHAnsi"/>
            <w:sz w:val="18"/>
            <w:szCs w:val="18"/>
          </w:rPr>
          <w:t>www.eirgridgroup.com</w:t>
        </w:r>
      </w:hyperlink>
      <w:r w:rsidRPr="003B3592">
        <w:rPr>
          <w:rFonts w:asciiTheme="majorHAnsi" w:hAnsiTheme="majorHAnsi" w:cstheme="majorHAnsi"/>
          <w:sz w:val="18"/>
          <w:szCs w:val="18"/>
        </w:rPr>
        <w:t xml:space="preserve"> and </w:t>
      </w:r>
      <w:hyperlink r:id="rId4" w:history="1">
        <w:r w:rsidRPr="003B3592">
          <w:rPr>
            <w:rStyle w:val="Hyperlink"/>
            <w:rFonts w:asciiTheme="majorHAnsi" w:hAnsiTheme="majorHAnsi" w:cstheme="majorHAnsi"/>
            <w:sz w:val="18"/>
            <w:szCs w:val="18"/>
          </w:rPr>
          <w:t>www.soni.ltd.uk</w:t>
        </w:r>
      </w:hyperlink>
    </w:p>
  </w:footnote>
  <w:footnote w:id="5">
    <w:p w14:paraId="69BCE8E3" w14:textId="4C05FB9A" w:rsidR="007F5B07" w:rsidRPr="00F00E31" w:rsidRDefault="007F5B07" w:rsidP="007F5B07">
      <w:pPr>
        <w:pStyle w:val="FootnoteText"/>
        <w:rPr>
          <w:lang w:val="en-IE"/>
        </w:rPr>
      </w:pPr>
      <w:r>
        <w:rPr>
          <w:rStyle w:val="FootnoteReference"/>
        </w:rPr>
        <w:footnoteRef/>
      </w:r>
      <w:r>
        <w:t xml:space="preserve"> </w:t>
      </w:r>
      <w:r w:rsidRPr="00F00E31">
        <w:rPr>
          <w:i/>
          <w:sz w:val="14"/>
          <w:szCs w:val="14"/>
        </w:rPr>
        <w:t xml:space="preserve">SEM Testing Tariff </w:t>
      </w:r>
      <w:r w:rsidR="007949E5">
        <w:rPr>
          <w:i/>
          <w:sz w:val="14"/>
          <w:szCs w:val="14"/>
        </w:rPr>
        <w:t xml:space="preserve"> Recommendations Paper November</w:t>
      </w:r>
      <w:r w:rsidRPr="00F00E31">
        <w:rPr>
          <w:i/>
          <w:sz w:val="14"/>
          <w:szCs w:val="14"/>
        </w:rPr>
        <w:t xml:space="preserve"> 2011</w:t>
      </w:r>
      <w:r w:rsidRPr="00F00E31">
        <w:rPr>
          <w:sz w:val="14"/>
          <w:szCs w:val="14"/>
        </w:rPr>
        <w:t xml:space="preserve"> sets out the metho</w:t>
      </w:r>
      <w:r>
        <w:rPr>
          <w:sz w:val="14"/>
          <w:szCs w:val="14"/>
        </w:rPr>
        <w:t>dol</w:t>
      </w:r>
      <w:r w:rsidRPr="00F00E31">
        <w:rPr>
          <w:sz w:val="14"/>
          <w:szCs w:val="14"/>
        </w:rPr>
        <w:t xml:space="preserve">ogy for calculating the cost components attributable to generator units under test. </w:t>
      </w:r>
      <w:hyperlink r:id="rId5" w:history="1">
        <w:r w:rsidRPr="00F00E31">
          <w:rPr>
            <w:rStyle w:val="Hyperlink"/>
            <w:sz w:val="14"/>
            <w:szCs w:val="14"/>
          </w:rPr>
          <w:t>http://www.allislandproject.org/en/transmission_decision_documents.aspx?article=3d45a24c-5677-4fa6-9254-ebe00aa0db0c</w:t>
        </w:r>
      </w:hyperlink>
    </w:p>
  </w:footnote>
  <w:footnote w:id="6">
    <w:p w14:paraId="0F3F3358" w14:textId="334E6358" w:rsidR="007F5B07" w:rsidRPr="006043C1" w:rsidRDefault="007F5B07" w:rsidP="007F5B07">
      <w:pPr>
        <w:pStyle w:val="FootnoteText"/>
        <w:spacing w:after="120"/>
        <w:rPr>
          <w:lang w:val="en-IE"/>
        </w:rPr>
      </w:pPr>
      <w:r w:rsidRPr="0086009A">
        <w:rPr>
          <w:rStyle w:val="FootnoteReference"/>
        </w:rPr>
        <w:footnoteRef/>
      </w:r>
      <w:r w:rsidRPr="0086009A">
        <w:t xml:space="preserve"> </w:t>
      </w:r>
      <w:r w:rsidR="00F64462" w:rsidRPr="00F64462">
        <w:rPr>
          <w:i/>
          <w:sz w:val="14"/>
          <w:szCs w:val="14"/>
          <w:lang w:val="en-IE"/>
        </w:rPr>
        <w:t xml:space="preserve">Available from: </w:t>
      </w:r>
      <w:hyperlink r:id="rId6" w:history="1">
        <w:r w:rsidR="00F64462" w:rsidRPr="00F64462">
          <w:rPr>
            <w:rStyle w:val="Hyperlink"/>
            <w:i/>
            <w:sz w:val="14"/>
            <w:szCs w:val="14"/>
            <w:lang w:val="en-IE"/>
          </w:rPr>
          <w:t>http://www.eirgridgroup.com/site-files/library/EirGrid/DS3-System-Services-Interim-Tariffs-FINAL.pdf</w:t>
        </w:r>
      </w:hyperlink>
      <w:hyperlink w:history="1"/>
    </w:p>
  </w:footnote>
  <w:footnote w:id="7">
    <w:p w14:paraId="64C9C912" w14:textId="77777777" w:rsidR="00F64462" w:rsidRPr="00F64462" w:rsidRDefault="007F5B07" w:rsidP="00F64462">
      <w:pPr>
        <w:pStyle w:val="FootnoteText"/>
        <w:rPr>
          <w:i/>
          <w:sz w:val="14"/>
          <w:szCs w:val="14"/>
        </w:rPr>
      </w:pPr>
      <w:r>
        <w:rPr>
          <w:rStyle w:val="FootnoteReference"/>
        </w:rPr>
        <w:footnoteRef/>
      </w:r>
      <w:r>
        <w:t xml:space="preserve"> </w:t>
      </w:r>
      <w:r w:rsidR="00F64462" w:rsidRPr="00F64462">
        <w:rPr>
          <w:i/>
          <w:sz w:val="14"/>
          <w:szCs w:val="14"/>
        </w:rPr>
        <w:t xml:space="preserve">DBC forecast assumption as set out in Imperfections Charges for October 2016 – September 2017;  SEM-16-031 </w:t>
      </w:r>
      <w:hyperlink r:id="rId7" w:history="1">
        <w:r w:rsidR="00F64462" w:rsidRPr="00F64462">
          <w:rPr>
            <w:rStyle w:val="Hyperlink"/>
            <w:i/>
            <w:sz w:val="14"/>
            <w:szCs w:val="14"/>
          </w:rPr>
          <w:t>https://www.semcommittee.com/sites/semcommittee.com/files/media-files/SEM-16-031%20Imperfections%20Charge%202016-17%20and%20Incentive%20Outturn%202014-15%20Consultation%20Paper.pdf</w:t>
        </w:r>
      </w:hyperlink>
    </w:p>
    <w:p w14:paraId="06A17982" w14:textId="0E621B9B" w:rsidR="007F5B07" w:rsidRPr="00965C3E" w:rsidRDefault="007F5B07" w:rsidP="007F5B07">
      <w:pPr>
        <w:pStyle w:val="FootnoteText"/>
      </w:pPr>
    </w:p>
  </w:footnote>
  <w:footnote w:id="8">
    <w:p w14:paraId="7BBF2F17" w14:textId="20CA1AE6" w:rsidR="007F5B07" w:rsidRPr="006043C1" w:rsidRDefault="007F5B07" w:rsidP="007F5B07">
      <w:pPr>
        <w:pStyle w:val="FootnoteText"/>
        <w:rPr>
          <w:lang w:val="en-IE"/>
        </w:rPr>
      </w:pPr>
      <w:r>
        <w:rPr>
          <w:rStyle w:val="FootnoteReference"/>
        </w:rPr>
        <w:footnoteRef/>
      </w:r>
      <w:r>
        <w:t xml:space="preserve"> </w:t>
      </w:r>
      <w:r w:rsidR="00DB46CB" w:rsidRPr="00DB46CB">
        <w:rPr>
          <w:i/>
          <w:sz w:val="14"/>
          <w:szCs w:val="14"/>
          <w:lang w:val="en-IE"/>
        </w:rPr>
        <w:t xml:space="preserve">SEM Testing Tariff Recommendations Paper November 2011 sets out the methodology for calculating the cost components attributable to generator units under test. </w:t>
      </w:r>
      <w:hyperlink r:id="rId8" w:history="1">
        <w:r w:rsidR="00DB46CB" w:rsidRPr="00DB46CB">
          <w:rPr>
            <w:rStyle w:val="Hyperlink"/>
            <w:i/>
            <w:sz w:val="14"/>
            <w:szCs w:val="14"/>
            <w:lang w:val="en-IE"/>
          </w:rPr>
          <w:t>https://www.semcommittee.com/sites/semcommittee.com/files/media-files/SEM-12-014b%20Testing%20Tariff%20Recommendations%20Paper.pdf</w:t>
        </w:r>
      </w:hyperlink>
    </w:p>
  </w:footnote>
  <w:footnote w:id="9">
    <w:p w14:paraId="707E6E67" w14:textId="554BFB44" w:rsidR="007F5B07" w:rsidRPr="006043C1" w:rsidRDefault="007F5B07" w:rsidP="007F5B07">
      <w:pPr>
        <w:pStyle w:val="FootnoteText"/>
        <w:spacing w:after="120"/>
        <w:rPr>
          <w:lang w:val="en-IE"/>
        </w:rPr>
      </w:pPr>
      <w:r w:rsidRPr="0086009A">
        <w:rPr>
          <w:rStyle w:val="FootnoteReference"/>
        </w:rPr>
        <w:footnoteRef/>
      </w:r>
      <w:r w:rsidRPr="0086009A">
        <w:t xml:space="preserve"> </w:t>
      </w:r>
      <w:r w:rsidR="00DB46CB" w:rsidRPr="00DB46CB">
        <w:rPr>
          <w:i/>
          <w:sz w:val="14"/>
          <w:szCs w:val="14"/>
          <w:lang w:val="en-IE"/>
        </w:rPr>
        <w:t xml:space="preserve">Available from:  </w:t>
      </w:r>
      <w:hyperlink r:id="rId9" w:history="1">
        <w:r w:rsidR="00DB46CB" w:rsidRPr="00DB46CB">
          <w:rPr>
            <w:rStyle w:val="Hyperlink"/>
            <w:i/>
            <w:sz w:val="14"/>
            <w:szCs w:val="14"/>
            <w:lang w:val="en-IE"/>
          </w:rPr>
          <w:t>http://www.eirgridgroup.com/site-files/library/EirGrid/DS3-System-Services-Interim-Tariffs-FINAL.pdf</w:t>
        </w:r>
      </w:hyperlink>
      <w:hyperlink w:history="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DE20" w14:textId="77777777" w:rsidR="005D0675" w:rsidRDefault="005151F1">
    <w:pPr>
      <w:pStyle w:val="Header"/>
    </w:pPr>
    <w:r>
      <w:rPr>
        <w:noProof/>
        <w:lang w:eastAsia="en-US"/>
      </w:rPr>
      <w:pict w14:anchorId="03F51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margin-left:0;margin-top:0;width:612.3pt;height:858.9pt;z-index:-251630592;mso-wrap-edited:f;mso-position-horizontal:center;mso-position-horizontal-relative:margin;mso-position-vertical:center;mso-position-vertical-relative:margin" wrapcoords="9741 15016 8550 15035 4685 15242 4473 15318 4182 15336 1800 15582 1641 15619 820 15714 847 15846 10800 15921 10800 17430 9000 17695 8576 17845 8285 17977 8285 18147 9900 18317 5797 18355 5797 18883 10402 18940 10138 19015 14902 19015 14929 19015 15141 18940 15247 18921 15644 18638 15802 18355 15802 18279 15697 17977 15326 17789 15141 17732 15088 17657 10800 17430 10800 15921 20726 15884 20752 15695 19720 15619 19561 15582 17285 15336 16967 15318 16755 15242 12970 15035 11832 15016 9741 15016">
          <v:imagedata r:id="rId1" o:title="EIRGRID_SONI_2015 Cover Page Footer (Proof 1 CMY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0D47" w14:textId="77777777" w:rsidR="005D0675" w:rsidRDefault="005151F1">
    <w:pPr>
      <w:pStyle w:val="Header"/>
    </w:pPr>
    <w:r>
      <w:rPr>
        <w:noProof/>
        <w:lang w:eastAsia="en-US"/>
      </w:rPr>
      <w:pict w14:anchorId="6C791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7" type="#_x0000_t75" style="position:absolute;margin-left:0;margin-top:0;width:612.3pt;height:858.9pt;z-index:-251631616;mso-wrap-edited:f;mso-position-horizontal:center;mso-position-horizontal-relative:margin;mso-position-vertical:center;mso-position-vertical-relative:margin" wrapcoords="9741 15016 8550 15035 4685 15242 4473 15318 4182 15336 1800 15582 1641 15619 820 15714 847 15846 10800 15921 10800 17430 9000 17695 8576 17845 8285 17977 8285 18147 9900 18317 5797 18355 5797 18883 10402 18940 10138 19015 14902 19015 14929 19015 15141 18940 15247 18921 15644 18638 15802 18355 15802 18279 15697 17977 15326 17789 15141 17732 15088 17657 10800 17430 10800 15921 20726 15884 20752 15695 19720 15619 19561 15582 17285 15336 16967 15318 16755 15242 12970 15035 11832 15016 9741 15016">
          <v:imagedata r:id="rId1" o:title="EIRGRID_SONI_2015 Cover Page Footer (Proof 1 CMYK)"/>
          <w10:wrap anchorx="margin" anchory="margin"/>
        </v:shape>
      </w:pict>
    </w:r>
    <w:r>
      <w:rPr>
        <w:noProof/>
        <w:lang w:eastAsia="en-US"/>
      </w:rPr>
      <w:pict w14:anchorId="7BD19D93">
        <v:shape id="_x0000_s2126" type="#_x0000_t75" style="position:absolute;margin-left:0;margin-top:0;width:595.3pt;height:841.9pt;z-index:-251632640;mso-wrap-edited:f;mso-position-horizontal:center;mso-position-horizontal-relative:margin;mso-position-vertical:center;mso-position-vertical-relative:margin" wrapcoords="18852 1654 18553 1673 17900 1865 17900 1961 17247 2269 17247 2577 10827 2865 10827 4404 15995 4731 15995 4789 16213 5020 16268 5097 16839 5327 10827 5635 10800 18580 17274 18887 16567 19138 16512 19311 16512 19484 17274 19503 16948 19638 16784 19734 16784 19811 16322 19965 16186 20042 16186 20138 16268 20157 16431 20157 19369 20157 19505 20157 19586 20138 19586 19715 19097 19657 17383 19503 19559 19484 19586 19234 19478 19195 19586 18791 10800 18580 10800 5654 19423 5366 19423 5347 19559 5058 19586 4443 18716 4423 10800 4423 19559 4289 19559 4116 10800 4116 10800 2885 16050 2865 20022 2750 20076 2558 20294 2288 20294 2077 20212 1865 19641 1673 19396 1654 18852 1654">
          <v:imagedata r:id="rId2" o:title="SONI_2015 Letterhead (Proof 2 CMYK F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ED15E" w14:textId="77777777" w:rsidR="005D0675" w:rsidRDefault="005151F1">
    <w:pPr>
      <w:pStyle w:val="Header"/>
    </w:pPr>
    <w:r>
      <w:rPr>
        <w:noProof/>
        <w:lang w:eastAsia="en-US"/>
      </w:rPr>
      <w:pict w14:anchorId="33970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margin-left:0;margin-top:0;width:612.3pt;height:858.9pt;z-index:-251629568;mso-wrap-edited:f;mso-position-horizontal:center;mso-position-horizontal-relative:margin;mso-position-vertical:center;mso-position-vertical-relative:margin" wrapcoords="9741 15016 8550 15035 4685 15242 4473 15318 4182 15336 1800 15582 1641 15619 820 15714 847 15846 10800 15921 10800 17430 9000 17695 8576 17845 8285 17977 8285 18147 9900 18317 5797 18355 5797 18883 10402 18940 10138 19015 14902 19015 14929 19015 15141 18940 15247 18921 15644 18638 15802 18355 15802 18279 15697 17977 15326 17789 15141 17732 15088 17657 10800 17430 10800 15921 20726 15884 20752 15695 19720 15619 19561 15582 17285 15336 16967 15318 16755 15242 12970 15035 11832 15016 9741 15016">
          <v:imagedata r:id="rId1" o:title="EIRGRID_SONI_2015 Cover Page Footer (Proof 1 CMY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D2A8" w14:textId="28781909" w:rsidR="005D0675" w:rsidRDefault="005151F1">
    <w:pPr>
      <w:pStyle w:val="Header"/>
    </w:pPr>
    <w:r>
      <w:rPr>
        <w:noProof/>
        <w:lang w:eastAsia="en-US"/>
      </w:rPr>
      <w:pict w14:anchorId="22653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23" type="#_x0000_t75" style="position:absolute;margin-left:0;margin-top:0;width:612.3pt;height:858.9pt;z-index:-251635712;mso-wrap-edited:f;mso-position-horizontal:center;mso-position-horizontal-relative:margin;mso-position-vertical:center;mso-position-vertical-relative:margin" wrapcoords="9741 15016 8550 15035 4685 15242 4473 15318 4182 15336 1800 15582 1641 15619 820 15714 847 15846 10800 15921 10800 17430 9000 17695 8576 17845 8285 17977 8285 18147 9900 18317 5797 18355 5797 18883 10402 18940 10138 19015 14902 19015 14929 19015 15141 18940 15247 18921 15644 18638 15802 18355 15802 18279 15697 17977 15326 17789 15141 17732 15088 17657 10800 17430 10800 15921 20726 15884 20752 15695 19720 15619 19561 15582 17285 15336 16967 15318 16755 15242 12970 15035 11832 15016 9741 15016">
          <v:imagedata r:id="rId1" o:title="EIRGRID_SONI_2015 Cover Page Footer (Proof 1 CMY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36B10" w14:textId="0895B38A" w:rsidR="005D0675" w:rsidRDefault="005D0675" w:rsidP="00C30034">
    <w:pPr>
      <w:pStyle w:val="Header"/>
      <w:ind w:left="-127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A0720" w14:textId="1FF70997" w:rsidR="005D0675" w:rsidRDefault="005151F1">
    <w:pPr>
      <w:pStyle w:val="Header"/>
    </w:pPr>
    <w:r>
      <w:rPr>
        <w:noProof/>
        <w:lang w:eastAsia="en-US"/>
      </w:rPr>
      <w:pict w14:anchorId="6337B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124" type="#_x0000_t75" style="position:absolute;margin-left:0;margin-top:0;width:612.3pt;height:858.9pt;z-index:-251634688;mso-wrap-edited:f;mso-position-horizontal:center;mso-position-horizontal-relative:margin;mso-position-vertical:center;mso-position-vertical-relative:margin" wrapcoords="9741 15016 8550 15035 4685 15242 4473 15318 4182 15336 1800 15582 1641 15619 820 15714 847 15846 10800 15921 10800 17430 9000 17695 8576 17845 8285 17977 8285 18147 9900 18317 5797 18355 5797 18883 10402 18940 10138 19015 14902 19015 14929 19015 15141 18940 15247 18921 15644 18638 15802 18355 15802 18279 15697 17977 15326 17789 15141 17732 15088 17657 10800 17430 10800 15921 20726 15884 20752 15695 19720 15619 19561 15582 17285 15336 16967 15318 16755 15242 12970 15035 11832 15016 9741 15016">
          <v:imagedata r:id="rId1" o:title="EIRGRID_SONI_2015 Cover Page Footer (Proof 1 CMY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EC8"/>
    <w:multiLevelType w:val="hybridMultilevel"/>
    <w:tmpl w:val="8FB0B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772747"/>
    <w:multiLevelType w:val="hybridMultilevel"/>
    <w:tmpl w:val="E6C2592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E853816"/>
    <w:multiLevelType w:val="hybridMultilevel"/>
    <w:tmpl w:val="C0E6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3F6513"/>
    <w:multiLevelType w:val="hybridMultilevel"/>
    <w:tmpl w:val="B59CB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8C60954"/>
    <w:multiLevelType w:val="hybridMultilevel"/>
    <w:tmpl w:val="2C54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3B15B1"/>
    <w:multiLevelType w:val="hybridMultilevel"/>
    <w:tmpl w:val="DE3A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1A60B9"/>
    <w:multiLevelType w:val="hybridMultilevel"/>
    <w:tmpl w:val="EAD8EF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FDD1CFD"/>
    <w:multiLevelType w:val="hybridMultilevel"/>
    <w:tmpl w:val="BF883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57A79FF"/>
    <w:multiLevelType w:val="hybridMultilevel"/>
    <w:tmpl w:val="221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A320CB"/>
    <w:multiLevelType w:val="hybridMultilevel"/>
    <w:tmpl w:val="99FA81D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E082BA9"/>
    <w:multiLevelType w:val="hybridMultilevel"/>
    <w:tmpl w:val="766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F95EB9"/>
    <w:multiLevelType w:val="hybridMultilevel"/>
    <w:tmpl w:val="613CA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92D29"/>
    <w:multiLevelType w:val="hybridMultilevel"/>
    <w:tmpl w:val="C4D4A8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55C4924"/>
    <w:multiLevelType w:val="hybridMultilevel"/>
    <w:tmpl w:val="56BC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6511FD"/>
    <w:multiLevelType w:val="hybridMultilevel"/>
    <w:tmpl w:val="724419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BA204D6"/>
    <w:multiLevelType w:val="hybridMultilevel"/>
    <w:tmpl w:val="73FAA0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EC50CE"/>
    <w:multiLevelType w:val="hybridMultilevel"/>
    <w:tmpl w:val="C2F6063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B336AF1C">
      <w:start w:val="1"/>
      <w:numFmt w:val="lowerRoman"/>
      <w:lvlText w:val="%3."/>
      <w:lvlJc w:val="right"/>
      <w:pPr>
        <w:ind w:left="2160" w:hanging="180"/>
      </w:pPr>
      <w:rPr>
        <w:rFonts w:hint="default"/>
      </w:r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CA05C37"/>
    <w:multiLevelType w:val="hybridMultilevel"/>
    <w:tmpl w:val="A57E5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4030FB"/>
    <w:multiLevelType w:val="hybridMultilevel"/>
    <w:tmpl w:val="82F0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5A196B"/>
    <w:multiLevelType w:val="hybridMultilevel"/>
    <w:tmpl w:val="D86E9F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4DF356D"/>
    <w:multiLevelType w:val="hybridMultilevel"/>
    <w:tmpl w:val="B9C6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A94B35"/>
    <w:multiLevelType w:val="hybridMultilevel"/>
    <w:tmpl w:val="01D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3C61A4"/>
    <w:multiLevelType w:val="multilevel"/>
    <w:tmpl w:val="E6BC4B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B7940AC"/>
    <w:multiLevelType w:val="hybridMultilevel"/>
    <w:tmpl w:val="97AC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EB6BA8"/>
    <w:multiLevelType w:val="hybridMultilevel"/>
    <w:tmpl w:val="DB1A2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2557E5A"/>
    <w:multiLevelType w:val="hybridMultilevel"/>
    <w:tmpl w:val="503676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3EA203B"/>
    <w:multiLevelType w:val="hybridMultilevel"/>
    <w:tmpl w:val="9586AE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74156DA"/>
    <w:multiLevelType w:val="hybridMultilevel"/>
    <w:tmpl w:val="86D887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9521400"/>
    <w:multiLevelType w:val="hybridMultilevel"/>
    <w:tmpl w:val="50C0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B7445D"/>
    <w:multiLevelType w:val="hybridMultilevel"/>
    <w:tmpl w:val="DD0E0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A1E20CE"/>
    <w:multiLevelType w:val="hybridMultilevel"/>
    <w:tmpl w:val="6FBCFE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B3C0388"/>
    <w:multiLevelType w:val="hybridMultilevel"/>
    <w:tmpl w:val="56C4F43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nsid w:val="7E4C0728"/>
    <w:multiLevelType w:val="hybridMultilevel"/>
    <w:tmpl w:val="6B3AEA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5"/>
  </w:num>
  <w:num w:numId="2">
    <w:abstractNumId w:val="24"/>
  </w:num>
  <w:num w:numId="3">
    <w:abstractNumId w:val="16"/>
  </w:num>
  <w:num w:numId="4">
    <w:abstractNumId w:val="28"/>
  </w:num>
  <w:num w:numId="5">
    <w:abstractNumId w:val="11"/>
  </w:num>
  <w:num w:numId="6">
    <w:abstractNumId w:val="8"/>
  </w:num>
  <w:num w:numId="7">
    <w:abstractNumId w:val="26"/>
  </w:num>
  <w:num w:numId="8">
    <w:abstractNumId w:val="31"/>
  </w:num>
  <w:num w:numId="9">
    <w:abstractNumId w:val="5"/>
  </w:num>
  <w:num w:numId="10">
    <w:abstractNumId w:val="21"/>
  </w:num>
  <w:num w:numId="11">
    <w:abstractNumId w:val="32"/>
  </w:num>
  <w:num w:numId="12">
    <w:abstractNumId w:val="10"/>
  </w:num>
  <w:num w:numId="13">
    <w:abstractNumId w:val="2"/>
  </w:num>
  <w:num w:numId="14">
    <w:abstractNumId w:val="13"/>
  </w:num>
  <w:num w:numId="15">
    <w:abstractNumId w:val="18"/>
  </w:num>
  <w:num w:numId="16">
    <w:abstractNumId w:val="20"/>
  </w:num>
  <w:num w:numId="17">
    <w:abstractNumId w:val="23"/>
  </w:num>
  <w:num w:numId="18">
    <w:abstractNumId w:val="4"/>
  </w:num>
  <w:num w:numId="19">
    <w:abstractNumId w:val="17"/>
  </w:num>
  <w:num w:numId="20">
    <w:abstractNumId w:val="7"/>
  </w:num>
  <w:num w:numId="21">
    <w:abstractNumId w:val="29"/>
  </w:num>
  <w:num w:numId="22">
    <w:abstractNumId w:val="30"/>
  </w:num>
  <w:num w:numId="23">
    <w:abstractNumId w:val="0"/>
  </w:num>
  <w:num w:numId="24">
    <w:abstractNumId w:val="22"/>
  </w:num>
  <w:num w:numId="25">
    <w:abstractNumId w:val="6"/>
  </w:num>
  <w:num w:numId="26">
    <w:abstractNumId w:val="19"/>
  </w:num>
  <w:num w:numId="27">
    <w:abstractNumId w:val="1"/>
  </w:num>
  <w:num w:numId="28">
    <w:abstractNumId w:val="9"/>
  </w:num>
  <w:num w:numId="29">
    <w:abstractNumId w:val="3"/>
  </w:num>
  <w:num w:numId="30">
    <w:abstractNumId w:val="12"/>
  </w:num>
  <w:num w:numId="31">
    <w:abstractNumId w:val="14"/>
  </w:num>
  <w:num w:numId="32">
    <w:abstractNumId w:val="2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BF"/>
    <w:rsid w:val="00006B7B"/>
    <w:rsid w:val="00016E80"/>
    <w:rsid w:val="00080DB1"/>
    <w:rsid w:val="00112AB0"/>
    <w:rsid w:val="0013336C"/>
    <w:rsid w:val="0014142C"/>
    <w:rsid w:val="001770C7"/>
    <w:rsid w:val="0019012B"/>
    <w:rsid w:val="00191F2B"/>
    <w:rsid w:val="001D057E"/>
    <w:rsid w:val="001E65A5"/>
    <w:rsid w:val="00205969"/>
    <w:rsid w:val="00206E6E"/>
    <w:rsid w:val="00212985"/>
    <w:rsid w:val="0021469F"/>
    <w:rsid w:val="002269A0"/>
    <w:rsid w:val="002460A2"/>
    <w:rsid w:val="0024711B"/>
    <w:rsid w:val="00255B58"/>
    <w:rsid w:val="00265AE7"/>
    <w:rsid w:val="00272E8A"/>
    <w:rsid w:val="00274768"/>
    <w:rsid w:val="002A263D"/>
    <w:rsid w:val="002A2BD6"/>
    <w:rsid w:val="002A3D7C"/>
    <w:rsid w:val="002E1906"/>
    <w:rsid w:val="00305E22"/>
    <w:rsid w:val="003440A6"/>
    <w:rsid w:val="003875AF"/>
    <w:rsid w:val="00387B29"/>
    <w:rsid w:val="00396AAE"/>
    <w:rsid w:val="003D0F7E"/>
    <w:rsid w:val="003D6CCF"/>
    <w:rsid w:val="003F1322"/>
    <w:rsid w:val="0040309E"/>
    <w:rsid w:val="00430B73"/>
    <w:rsid w:val="00461ADD"/>
    <w:rsid w:val="004719BF"/>
    <w:rsid w:val="00474D96"/>
    <w:rsid w:val="00483248"/>
    <w:rsid w:val="00483B78"/>
    <w:rsid w:val="0048680D"/>
    <w:rsid w:val="00491E1B"/>
    <w:rsid w:val="00495D37"/>
    <w:rsid w:val="004B4C4C"/>
    <w:rsid w:val="0051446D"/>
    <w:rsid w:val="005151F1"/>
    <w:rsid w:val="005277AD"/>
    <w:rsid w:val="00574FA3"/>
    <w:rsid w:val="005D0675"/>
    <w:rsid w:val="005D1B3B"/>
    <w:rsid w:val="005E48C5"/>
    <w:rsid w:val="005F593A"/>
    <w:rsid w:val="006229FB"/>
    <w:rsid w:val="0062335B"/>
    <w:rsid w:val="006858D2"/>
    <w:rsid w:val="006D6384"/>
    <w:rsid w:val="006F79E2"/>
    <w:rsid w:val="00701284"/>
    <w:rsid w:val="00702C51"/>
    <w:rsid w:val="00703156"/>
    <w:rsid w:val="007062DC"/>
    <w:rsid w:val="00716597"/>
    <w:rsid w:val="0073159A"/>
    <w:rsid w:val="00742867"/>
    <w:rsid w:val="00760456"/>
    <w:rsid w:val="0077477C"/>
    <w:rsid w:val="00777346"/>
    <w:rsid w:val="007821EF"/>
    <w:rsid w:val="007949E5"/>
    <w:rsid w:val="007D1195"/>
    <w:rsid w:val="007E3D85"/>
    <w:rsid w:val="007F3209"/>
    <w:rsid w:val="007F5B07"/>
    <w:rsid w:val="00811CB3"/>
    <w:rsid w:val="008432F6"/>
    <w:rsid w:val="00893DD1"/>
    <w:rsid w:val="008C3EDB"/>
    <w:rsid w:val="008E4CCB"/>
    <w:rsid w:val="0092089D"/>
    <w:rsid w:val="00933F32"/>
    <w:rsid w:val="00942F9D"/>
    <w:rsid w:val="00943E8F"/>
    <w:rsid w:val="00965773"/>
    <w:rsid w:val="009E7187"/>
    <w:rsid w:val="009F78B6"/>
    <w:rsid w:val="00A36AFD"/>
    <w:rsid w:val="00A53579"/>
    <w:rsid w:val="00A80713"/>
    <w:rsid w:val="00A90EA2"/>
    <w:rsid w:val="00AA1E80"/>
    <w:rsid w:val="00AB3CCE"/>
    <w:rsid w:val="00AC7F92"/>
    <w:rsid w:val="00AD1E68"/>
    <w:rsid w:val="00AF381E"/>
    <w:rsid w:val="00B00DF6"/>
    <w:rsid w:val="00B17569"/>
    <w:rsid w:val="00B57B61"/>
    <w:rsid w:val="00B605F5"/>
    <w:rsid w:val="00BC2EFF"/>
    <w:rsid w:val="00BD008A"/>
    <w:rsid w:val="00BD0889"/>
    <w:rsid w:val="00BD5B91"/>
    <w:rsid w:val="00BD5EDB"/>
    <w:rsid w:val="00BD6F67"/>
    <w:rsid w:val="00BE3C04"/>
    <w:rsid w:val="00C13771"/>
    <w:rsid w:val="00C23443"/>
    <w:rsid w:val="00C30034"/>
    <w:rsid w:val="00C652E0"/>
    <w:rsid w:val="00C709FC"/>
    <w:rsid w:val="00CC2A08"/>
    <w:rsid w:val="00CE5309"/>
    <w:rsid w:val="00D251F5"/>
    <w:rsid w:val="00D509D0"/>
    <w:rsid w:val="00DB46CB"/>
    <w:rsid w:val="00DB4E10"/>
    <w:rsid w:val="00DF1733"/>
    <w:rsid w:val="00E2130F"/>
    <w:rsid w:val="00E435C9"/>
    <w:rsid w:val="00E45BBB"/>
    <w:rsid w:val="00E466A0"/>
    <w:rsid w:val="00E723C4"/>
    <w:rsid w:val="00E75EA6"/>
    <w:rsid w:val="00EB4AA6"/>
    <w:rsid w:val="00F16B7C"/>
    <w:rsid w:val="00F45C16"/>
    <w:rsid w:val="00F52741"/>
    <w:rsid w:val="00F64462"/>
    <w:rsid w:val="00F77D5C"/>
    <w:rsid w:val="00F978AB"/>
    <w:rsid w:val="00FC4674"/>
    <w:rsid w:val="00FC5128"/>
    <w:rsid w:val="00FF41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0"/>
    <o:shapelayout v:ext="edit">
      <o:idmap v:ext="edit" data="1"/>
    </o:shapelayout>
  </w:shapeDefaults>
  <w:doNotEmbedSmartTags/>
  <w:decimalSymbol w:val="."/>
  <w:listSeparator w:val=","/>
  <w14:docId w14:val="3D93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5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2985"/>
    <w:rPr>
      <w:rFonts w:asciiTheme="majorHAnsi" w:eastAsiaTheme="majorEastAsia" w:hAnsiTheme="majorHAnsi" w:cstheme="majorBidi"/>
      <w:b/>
      <w:bCs/>
      <w:color w:val="4F81BD" w:themeColor="accent1"/>
      <w:sz w:val="26"/>
      <w:szCs w:val="26"/>
      <w:lang w:val="en-GB" w:eastAsia="en-GB"/>
    </w:r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character" w:customStyle="1" w:styleId="Heading1Char">
    <w:name w:val="Heading 1 Char"/>
    <w:basedOn w:val="DefaultParagraphFont"/>
    <w:link w:val="Heading1"/>
    <w:uiPriority w:val="9"/>
    <w:rsid w:val="0021298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39"/>
    <w:unhideWhenUsed/>
    <w:rsid w:val="00212985"/>
    <w:pPr>
      <w:spacing w:after="100" w:line="276" w:lineRule="auto"/>
      <w:ind w:left="440"/>
    </w:pPr>
    <w:rPr>
      <w:sz w:val="22"/>
      <w:szCs w:val="22"/>
      <w:lang w:val="en-GB" w:eastAsia="en-GB"/>
    </w:rPr>
  </w:style>
  <w:style w:type="character" w:customStyle="1" w:styleId="Heading3Char">
    <w:name w:val="Heading 3 Char"/>
    <w:basedOn w:val="DefaultParagraphFont"/>
    <w:link w:val="Heading3"/>
    <w:uiPriority w:val="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
    <w:rsid w:val="00811CB3"/>
    <w:rPr>
      <w:rFonts w:asciiTheme="majorHAnsi" w:eastAsiaTheme="majorEastAsia" w:hAnsiTheme="majorHAnsi" w:cstheme="majorBidi"/>
      <w:b/>
      <w:bCs/>
      <w:i/>
      <w:iCs/>
      <w:color w:val="4F81BD" w:themeColor="accent1"/>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39"/>
    <w:unhideWhenUsed/>
    <w:rsid w:val="00811CB3"/>
    <w:pPr>
      <w:spacing w:after="100" w:line="276" w:lineRule="auto"/>
    </w:pPr>
    <w:rPr>
      <w:sz w:val="22"/>
      <w:szCs w:val="22"/>
      <w:lang w:val="en-GB" w:eastAsia="en-GB"/>
    </w:rPr>
  </w:style>
  <w:style w:type="paragraph" w:styleId="Caption">
    <w:name w:val="caption"/>
    <w:basedOn w:val="Normal"/>
    <w:next w:val="Normal"/>
    <w:uiPriority w:val="35"/>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autoRedefine/>
    <w:qFormat/>
    <w:rsid w:val="00B17569"/>
    <w:pPr>
      <w:jc w:val="both"/>
    </w:pPr>
    <w:rPr>
      <w:rFonts w:ascii="Arial" w:hAnsi="Arial" w:cs="Arial"/>
      <w:sz w:val="20"/>
    </w:rPr>
  </w:style>
  <w:style w:type="table" w:customStyle="1" w:styleId="LightList-Accent11">
    <w:name w:val="Light List - Accent 11"/>
    <w:basedOn w:val="TableNormal"/>
    <w:uiPriority w:val="61"/>
    <w:rsid w:val="00EB4AA6"/>
    <w:rPr>
      <w:rFonts w:ascii="Arial" w:eastAsiaTheme="minorHAnsi" w:hAnsi="Arial"/>
      <w:szCs w:val="22"/>
      <w:lang w:val="en-I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SMH1">
    <w:name w:val="BODY_SMH1"/>
    <w:basedOn w:val="Heading3"/>
    <w:link w:val="BODYSMH1Char"/>
    <w:qFormat/>
    <w:rsid w:val="00EB4AA6"/>
    <w:pPr>
      <w:jc w:val="both"/>
    </w:pPr>
    <w:rPr>
      <w:rFonts w:eastAsiaTheme="minorHAnsi" w:cstheme="minorHAnsi"/>
      <w:b w:val="0"/>
      <w:bCs w:val="0"/>
      <w:lang w:val="en-IE" w:eastAsia="en-US"/>
    </w:rPr>
  </w:style>
  <w:style w:type="character" w:customStyle="1" w:styleId="BODYSMH1Char">
    <w:name w:val="BODY_SMH1 Char"/>
    <w:basedOn w:val="Heading3Char"/>
    <w:link w:val="BODYSMH1"/>
    <w:rsid w:val="00EB4AA6"/>
    <w:rPr>
      <w:rFonts w:asciiTheme="majorHAnsi" w:eastAsiaTheme="minorHAnsi" w:hAnsiTheme="majorHAnsi" w:cstheme="minorHAnsi"/>
      <w:b w:val="0"/>
      <w:bCs w:val="0"/>
      <w:color w:val="4F81BD" w:themeColor="accent1"/>
      <w:sz w:val="22"/>
      <w:szCs w:val="22"/>
      <w:lang w:val="en-I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5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2985"/>
    <w:rPr>
      <w:rFonts w:asciiTheme="majorHAnsi" w:eastAsiaTheme="majorEastAsia" w:hAnsiTheme="majorHAnsi" w:cstheme="majorBidi"/>
      <w:b/>
      <w:bCs/>
      <w:color w:val="4F81BD" w:themeColor="accent1"/>
      <w:sz w:val="26"/>
      <w:szCs w:val="26"/>
      <w:lang w:val="en-GB" w:eastAsia="en-GB"/>
    </w:r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character" w:customStyle="1" w:styleId="Heading1Char">
    <w:name w:val="Heading 1 Char"/>
    <w:basedOn w:val="DefaultParagraphFont"/>
    <w:link w:val="Heading1"/>
    <w:uiPriority w:val="9"/>
    <w:rsid w:val="0021298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39"/>
    <w:unhideWhenUsed/>
    <w:rsid w:val="00212985"/>
    <w:pPr>
      <w:spacing w:after="100" w:line="276" w:lineRule="auto"/>
      <w:ind w:left="440"/>
    </w:pPr>
    <w:rPr>
      <w:sz w:val="22"/>
      <w:szCs w:val="22"/>
      <w:lang w:val="en-GB" w:eastAsia="en-GB"/>
    </w:rPr>
  </w:style>
  <w:style w:type="character" w:customStyle="1" w:styleId="Heading3Char">
    <w:name w:val="Heading 3 Char"/>
    <w:basedOn w:val="DefaultParagraphFont"/>
    <w:link w:val="Heading3"/>
    <w:uiPriority w:val="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
    <w:rsid w:val="00811CB3"/>
    <w:rPr>
      <w:rFonts w:asciiTheme="majorHAnsi" w:eastAsiaTheme="majorEastAsia" w:hAnsiTheme="majorHAnsi" w:cstheme="majorBidi"/>
      <w:b/>
      <w:bCs/>
      <w:i/>
      <w:iCs/>
      <w:color w:val="4F81BD" w:themeColor="accent1"/>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39"/>
    <w:unhideWhenUsed/>
    <w:rsid w:val="00811CB3"/>
    <w:pPr>
      <w:spacing w:after="100" w:line="276" w:lineRule="auto"/>
    </w:pPr>
    <w:rPr>
      <w:sz w:val="22"/>
      <w:szCs w:val="22"/>
      <w:lang w:val="en-GB" w:eastAsia="en-GB"/>
    </w:rPr>
  </w:style>
  <w:style w:type="paragraph" w:styleId="Caption">
    <w:name w:val="caption"/>
    <w:basedOn w:val="Normal"/>
    <w:next w:val="Normal"/>
    <w:uiPriority w:val="35"/>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autoRedefine/>
    <w:qFormat/>
    <w:rsid w:val="00B17569"/>
    <w:pPr>
      <w:jc w:val="both"/>
    </w:pPr>
    <w:rPr>
      <w:rFonts w:ascii="Arial" w:hAnsi="Arial" w:cs="Arial"/>
      <w:sz w:val="20"/>
    </w:rPr>
  </w:style>
  <w:style w:type="table" w:customStyle="1" w:styleId="LightList-Accent11">
    <w:name w:val="Light List - Accent 11"/>
    <w:basedOn w:val="TableNormal"/>
    <w:uiPriority w:val="61"/>
    <w:rsid w:val="00EB4AA6"/>
    <w:rPr>
      <w:rFonts w:ascii="Arial" w:eastAsiaTheme="minorHAnsi" w:hAnsi="Arial"/>
      <w:szCs w:val="22"/>
      <w:lang w:val="en-I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ODYSMH1">
    <w:name w:val="BODY_SMH1"/>
    <w:basedOn w:val="Heading3"/>
    <w:link w:val="BODYSMH1Char"/>
    <w:qFormat/>
    <w:rsid w:val="00EB4AA6"/>
    <w:pPr>
      <w:jc w:val="both"/>
    </w:pPr>
    <w:rPr>
      <w:rFonts w:eastAsiaTheme="minorHAnsi" w:cstheme="minorHAnsi"/>
      <w:b w:val="0"/>
      <w:bCs w:val="0"/>
      <w:lang w:val="en-IE" w:eastAsia="en-US"/>
    </w:rPr>
  </w:style>
  <w:style w:type="character" w:customStyle="1" w:styleId="BODYSMH1Char">
    <w:name w:val="BODY_SMH1 Char"/>
    <w:basedOn w:val="Heading3Char"/>
    <w:link w:val="BODYSMH1"/>
    <w:rsid w:val="00EB4AA6"/>
    <w:rPr>
      <w:rFonts w:asciiTheme="majorHAnsi" w:eastAsiaTheme="minorHAnsi" w:hAnsiTheme="majorHAnsi" w:cstheme="minorHAnsi"/>
      <w:b w:val="0"/>
      <w:bCs w:val="0"/>
      <w:color w:val="4F81BD" w:themeColor="accent1"/>
      <w:sz w:val="22"/>
      <w:szCs w:val="22"/>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721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tariffs@soni.ltd.uk"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tariffs@eirgrid.com"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emcommittee.com/sites/semcommittee.com/files/media-files/SEM-12-014b%20Testing%20Tariff%20Recommendations%20Paper.pdf" TargetMode="External"/><Relationship Id="rId3" Type="http://schemas.openxmlformats.org/officeDocument/2006/relationships/hyperlink" Target="http://www.eirgridgroup.com" TargetMode="External"/><Relationship Id="rId7" Type="http://schemas.openxmlformats.org/officeDocument/2006/relationships/hyperlink" Target="https://www.semcommittee.com/sites/semcommittee.com/files/media-files/SEM-16-031%20Imperfections%20Charge%202016-17%20and%20Incentive%20Outturn%202014-15%20Consultation%20Paper.pdf" TargetMode="External"/><Relationship Id="rId2" Type="http://schemas.openxmlformats.org/officeDocument/2006/relationships/hyperlink" Target="http://www.eirgridgroup.com/site-files/library/EirGrid/OperationalConstraintsUpdateVersion1_52_May_2017.pdf" TargetMode="External"/><Relationship Id="rId1" Type="http://schemas.openxmlformats.org/officeDocument/2006/relationships/hyperlink" Target="http://www.allislandproject.org/en/transmission_decision_documents.aspx?article=3d45a24c-5677-4fa6-9254-ebe00aa0db0c" TargetMode="External"/><Relationship Id="rId6" Type="http://schemas.openxmlformats.org/officeDocument/2006/relationships/hyperlink" Target="http://www.eirgridgroup.com/site-files/library/EirGrid/DS3-System-Services-Interim-Tariffs-FINAL.pdf" TargetMode="External"/><Relationship Id="rId5" Type="http://schemas.openxmlformats.org/officeDocument/2006/relationships/hyperlink" Target="http://www.allislandproject.org/en/transmission_decision_documents.aspx?article=3d45a24c-5677-4fa6-9254-ebe00aa0db0c" TargetMode="External"/><Relationship Id="rId4" Type="http://schemas.openxmlformats.org/officeDocument/2006/relationships/hyperlink" Target="http://www.soni.ltd.uk" TargetMode="External"/><Relationship Id="rId9" Type="http://schemas.openxmlformats.org/officeDocument/2006/relationships/hyperlink" Target="http://www.eirgridgroup.com/site-files/library/EirGrid/DS3-System-Services-Interim-Tariffs-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3AEF-04B6-45EE-8903-895EB342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2017-08-09T11:20:00Z</dcterms:created>
  <dcterms:modified xsi:type="dcterms:W3CDTF">2017-08-09T11:20:00Z</dcterms:modified>
</cp:coreProperties>
</file>